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left"/>
      </w:pPr>
      <w:r>
        <w:rPr>
          <w:rFonts w:ascii="Times New Roman" w:hAnsi="Times New Roman"/>
          <w:b w:val="0"/>
          <w:i/>
          <w:color w:val="4F46E5"/>
          <w:sz w:val="16"/>
        </w:rPr>
        <w:t>КиберОснова · Шаблон документа СКЗИ · sgrc.cyberosnova.ru</w:t>
      </w:r>
    </w:p>
    <w:p>
      <w:pPr>
        <w:spacing w:before="120" w:after="40"/>
        <w:jc w:val="center"/>
      </w:pPr>
      <w:r>
        <w:rPr>
          <w:rFonts w:ascii="Times New Roman" w:hAnsi="Times New Roman"/>
          <w:b/>
          <w:i w:val="0"/>
          <w:color w:val="1E2047"/>
          <w:sz w:val="28"/>
        </w:rPr>
        <w:t>АКТ № ___ уничтожения средств криптографической защиты информации</w:t>
        <w:br/>
        <w:t>и ключевых документов</w:t>
      </w:r>
    </w:p>
    <w:p>
      <w:pPr>
        <w:spacing w:before="80" w:after="12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  <w:t>«___» _______________ 20___ г.                                        г. _______________</w:t>
      </w:r>
    </w:p>
    <w:p>
      <w:pPr>
        <w:spacing w:before="0" w:after="120"/>
        <w:jc w:val="center"/>
      </w:pPr>
      <w:r>
        <w:rPr>
          <w:rFonts w:ascii="Times New Roman" w:hAnsi="Times New Roman"/>
          <w:b w:val="0"/>
          <w:i/>
          <w:color w:val="6B7280"/>
          <w:sz w:val="20"/>
        </w:rPr>
        <w:t>(полное наименование организации)</w:t>
      </w:r>
    </w:p>
    <w:p>
      <w:pPr>
        <w:spacing w:before="4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</w:r>
      <w:r>
        <w:rPr>
          <w:rFonts w:ascii="Times New Roman" w:hAnsi="Times New Roman"/>
          <w:b w:val="0"/>
          <w:i w:val="0"/>
          <w:color w:val="6B7280"/>
          <w:sz w:val="24"/>
        </w:rPr>
        <w:t xml:space="preserve"> ________________________________________________________________________________</w:t>
      </w:r>
    </w:p>
    <w:p>
      <w:pPr>
        <w:spacing w:before="80" w:after="40"/>
      </w:pPr>
      <w:r>
        <w:rPr>
          <w:rFonts w:ascii="Times New Roman" w:hAnsi="Times New Roman"/>
          <w:b/>
          <w:i w:val="0"/>
          <w:color w:val="1E2047"/>
          <w:sz w:val="24"/>
        </w:rPr>
        <w:t>Комиссия в составе: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Председатель: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__________________________________________________  (должность, Ф.И.О.)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__________________________________________________  (должность, Ф.И.О.)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__________________________________________________  (должность, Ф.И.О.)</w:t>
      </w:r>
    </w:p>
    <w:p>
      <w:pPr>
        <w:spacing w:before="120" w:after="80"/>
        <w:jc w:val="left"/>
      </w:pPr>
      <w:r>
        <w:rPr>
          <w:rFonts w:ascii="Times New Roman" w:hAnsi="Times New Roman"/>
          <w:b w:val="0"/>
          <w:i w:val="0"/>
          <w:color w:val="374151"/>
          <w:sz w:val="24"/>
        </w:rPr>
        <w:t>составила настоящий акт о том, что в соответствии с требованиями п. 46 Приказа ФАПСИ от 13.06.2001 №152 произвела уничтожение следующих СКЗИ и (или) ключевых документов: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>
        <w:tc>
          <w:tcPr>
            <w:tcW w:type="dxa" w:w="45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№</w:t>
              <w:br/>
              <w:t>п/п</w:t>
            </w:r>
          </w:p>
        </w:tc>
        <w:tc>
          <w:tcPr>
            <w:tcW w:type="dxa" w:w="2551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Наименование СКЗИ / ключевых документов / носителей</w:t>
            </w:r>
          </w:p>
        </w:tc>
        <w:tc>
          <w:tcPr>
            <w:tcW w:type="dxa" w:w="181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Регистрационный (серийный / криптографический) номер</w:t>
            </w:r>
          </w:p>
        </w:tc>
        <w:tc>
          <w:tcPr>
            <w:tcW w:type="dxa" w:w="680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Кол-во</w:t>
              <w:br/>
              <w:t>экз.</w:t>
            </w:r>
          </w:p>
        </w:tc>
        <w:tc>
          <w:tcPr>
            <w:tcW w:type="dxa" w:w="1587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Способ уничтожения</w:t>
            </w:r>
          </w:p>
        </w:tc>
        <w:tc>
          <w:tcPr>
            <w:tcW w:type="dxa" w:w="113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Дата</w:t>
              <w:br/>
              <w:t>уничтожения</w:t>
            </w:r>
          </w:p>
        </w:tc>
        <w:tc>
          <w:tcPr>
            <w:tcW w:type="dxa" w:w="1020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Примечание</w:t>
            </w:r>
          </w:p>
        </w:tc>
      </w:tr>
      <w:tr>
        <w:tc>
          <w:tcPr>
            <w:tcW w:type="dxa" w:w="1336"/>
            <w:vAlign w:val="center"/>
            <w:shd w:val="clear" w:color="auto" w:fill="FFFFFF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</w:tr>
      <w:tr>
        <w:tc>
          <w:tcPr>
            <w:tcW w:type="dxa" w:w="1336"/>
            <w:vAlign w:val="center"/>
            <w:shd w:val="clear" w:color="auto" w:fill="F9FAFB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</w:tr>
      <w:tr>
        <w:tc>
          <w:tcPr>
            <w:tcW w:type="dxa" w:w="1336"/>
            <w:vAlign w:val="center"/>
            <w:shd w:val="clear" w:color="auto" w:fill="FFFFFF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</w:tr>
      <w:tr>
        <w:tc>
          <w:tcPr>
            <w:tcW w:type="dxa" w:w="1336"/>
            <w:vAlign w:val="center"/>
            <w:shd w:val="clear" w:color="auto" w:fill="F9FAFB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</w:tr>
      <w:tr>
        <w:tc>
          <w:tcPr>
            <w:tcW w:type="dxa" w:w="1336"/>
            <w:vAlign w:val="center"/>
            <w:shd w:val="clear" w:color="auto" w:fill="FFFFFF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  <w:tc>
          <w:tcPr>
            <w:tcW w:type="dxa" w:w="1336"/>
            <w:shd w:val="clear" w:color="auto" w:fill="FFFFFF"/>
          </w:tcPr>
          <w:p/>
        </w:tc>
      </w:tr>
      <w:tr>
        <w:tc>
          <w:tcPr>
            <w:tcW w:type="dxa" w:w="1336"/>
            <w:vAlign w:val="center"/>
            <w:shd w:val="clear" w:color="auto" w:fill="F9FAFB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  <w:tc>
          <w:tcPr>
            <w:tcW w:type="dxa" w:w="1336"/>
            <w:shd w:val="clear" w:color="auto" w:fill="F9FAFB"/>
          </w:tcPr>
          <w:p/>
        </w:tc>
      </w:tr>
    </w:tbl>
    <w:p>
      <w:pPr>
        <w:spacing w:before="12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  <w:t>Всего уничтожено ________ (________________________) наименований, ________ (________________________) экземпляров.</w:t>
      </w:r>
    </w:p>
    <w:p>
      <w:pPr>
        <w:spacing w:before="4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  <w:t>Основание уничтожения:</w:t>
      </w:r>
      <w:r>
        <w:rPr>
          <w:rFonts w:ascii="Times New Roman" w:hAnsi="Times New Roman"/>
          <w:b w:val="0"/>
          <w:i w:val="0"/>
          <w:color w:val="6B7280"/>
          <w:sz w:val="24"/>
        </w:rPr>
        <w:t xml:space="preserve"> ____________________________________________________________</w:t>
      </w:r>
    </w:p>
    <w:p>
      <w:pPr>
        <w:spacing w:before="80" w:after="40"/>
        <w:jc w:val="left"/>
      </w:pPr>
      <w:r>
        <w:rPr>
          <w:rFonts w:ascii="Times New Roman" w:hAnsi="Times New Roman"/>
          <w:b/>
          <w:i w:val="0"/>
          <w:color w:val="374151"/>
          <w:sz w:val="24"/>
        </w:rPr>
        <w:t>Способ уничтожения (описание метода):</w:t>
      </w:r>
    </w:p>
    <w:p>
      <w:pPr>
        <w:spacing w:before="4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</w:r>
      <w:r>
        <w:rPr>
          <w:rFonts w:ascii="Times New Roman" w:hAnsi="Times New Roman"/>
          <w:b w:val="0"/>
          <w:i w:val="0"/>
          <w:color w:val="6B7280"/>
          <w:sz w:val="24"/>
        </w:rPr>
        <w:t xml:space="preserve"> __________________________________________________________________________________________</w:t>
      </w:r>
    </w:p>
    <w:p>
      <w:pPr>
        <w:spacing w:before="4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</w:r>
      <w:r>
        <w:rPr>
          <w:rFonts w:ascii="Times New Roman" w:hAnsi="Times New Roman"/>
          <w:b w:val="0"/>
          <w:i w:val="0"/>
          <w:color w:val="6B7280"/>
          <w:sz w:val="24"/>
        </w:rPr>
        <w:t xml:space="preserve"> __________________________________________________________________________________________</w:t>
      </w:r>
    </w:p>
    <w:p>
      <w:pPr>
        <w:spacing w:before="160" w:after="0"/>
        <w:jc w:val="left"/>
      </w:pPr>
      <w:r>
        <w:rPr>
          <w:rFonts w:ascii="Times New Roman" w:hAnsi="Times New Roman"/>
          <w:b w:val="0"/>
          <w:i w:val="0"/>
          <w:sz w:val="12"/>
        </w:rPr>
      </w:r>
    </w:p>
    <w:p>
      <w:pPr>
        <w:spacing w:before="100" w:after="2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Председатель комиссии: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 / __________________________ / «___» ___________ 20___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(подпись)                  (расшифровка подписи)</w:t>
      </w:r>
    </w:p>
    <w:p>
      <w:pPr>
        <w:spacing w:before="100" w:after="2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 / __________________________ / «___» ___________ 20___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(подпись)                  (расшифровка подписи)</w:t>
      </w:r>
    </w:p>
    <w:p>
      <w:pPr>
        <w:spacing w:before="100" w:after="2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6B7280"/>
          <w:sz w:val="24"/>
        </w:rPr>
        <w:t>_____________ / __________________________ / «___» ___________ 20___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(подпись)                  (расшифровка подписи)</w:t>
      </w:r>
    </w:p>
    <w:p>
      <w:pPr>
        <w:spacing w:before="200" w:after="0"/>
        <w:jc w:val="left"/>
      </w:pPr>
      <w:r>
        <w:rPr>
          <w:rFonts w:ascii="Times New Roman" w:hAnsi="Times New Roman"/>
          <w:b w:val="0"/>
          <w:i w:val="0"/>
          <w:sz w:val="12"/>
        </w:rPr>
      </w:r>
    </w:p>
    <w:p>
      <w:pPr>
        <w:spacing w:before="40" w:after="0"/>
      </w:pPr>
      <w:r>
        <w:rPr>
          <w:rFonts w:ascii="Times New Roman" w:hAnsi="Times New Roman"/>
          <w:b w:val="0"/>
          <w:i/>
          <w:color w:val="6B7280"/>
          <w:sz w:val="16"/>
        </w:rPr>
        <w:t>Составляется на основании п. 46 Приказа ФАПСИ от 13.06.2001 №152. Хранится в органе криптографической защиты не менее 5 лет. Шаблон: sgrc.cyberosnova.ru</w:t>
      </w:r>
    </w:p>
    <w:p>
      <w:r>
        <w:br w:type="page"/>
      </w:r>
    </w:p>
    <w:p>
      <w:pPr>
        <w:spacing w:before="0" w:after="80"/>
        <w:jc w:val="left"/>
      </w:pPr>
      <w:r>
        <w:rPr>
          <w:rFonts w:ascii="Times New Roman" w:hAnsi="Times New Roman"/>
          <w:b w:val="0"/>
          <w:i/>
          <w:color w:val="4F46E5"/>
          <w:sz w:val="16"/>
        </w:rPr>
        <w:t>КиберОснова · Шаблон документа СКЗИ · sgrc.cyberosnova.ru</w:t>
      </w:r>
    </w:p>
    <w:p>
      <w:pPr>
        <w:spacing w:before="40" w:after="0"/>
        <w:jc w:val="center"/>
      </w:pPr>
      <w:r>
        <w:rPr>
          <w:rFonts w:ascii="Times New Roman" w:hAnsi="Times New Roman"/>
          <w:b/>
          <w:i w:val="0"/>
          <w:color w:val="DC2626"/>
          <w:sz w:val="20"/>
        </w:rPr>
        <w:t>[ ОБРАЗЕЦ ЗАПОЛНЕНИЯ ]</w:t>
      </w:r>
    </w:p>
    <w:p>
      <w:pPr>
        <w:spacing w:before="120" w:after="40"/>
        <w:jc w:val="center"/>
      </w:pPr>
      <w:r>
        <w:rPr>
          <w:rFonts w:ascii="Times New Roman" w:hAnsi="Times New Roman"/>
          <w:b/>
          <w:i w:val="0"/>
          <w:color w:val="1E2047"/>
          <w:sz w:val="28"/>
        </w:rPr>
        <w:t>АКТ № 3 уничтожения средств криптографической защиты информации</w:t>
        <w:br/>
        <w:t>и ключевых документов</w:t>
      </w:r>
    </w:p>
    <w:p>
      <w:pPr>
        <w:spacing w:before="80" w:after="120"/>
        <w:jc w:val="center"/>
      </w:pPr>
      <w:r>
        <w:rPr>
          <w:rFonts w:ascii="Times New Roman" w:hAnsi="Times New Roman"/>
          <w:b w:val="0"/>
          <w:i w:val="0"/>
          <w:color w:val="000000"/>
          <w:sz w:val="24"/>
        </w:rPr>
        <w:t>«15» января 2026 г.                                                  г. Москва</w:t>
      </w:r>
    </w:p>
    <w:p>
      <w:pPr>
        <w:spacing w:before="0" w:after="120"/>
        <w:jc w:val="center"/>
      </w:pPr>
      <w:r>
        <w:rPr>
          <w:rFonts w:ascii="Times New Roman" w:hAnsi="Times New Roman"/>
          <w:b/>
          <w:i w:val="0"/>
          <w:color w:val="1E2047"/>
          <w:sz w:val="24"/>
        </w:rPr>
        <w:t>ООО «ПримерОрганизация»</w:t>
      </w:r>
    </w:p>
    <w:p>
      <w:pPr>
        <w:spacing w:before="80" w:after="40"/>
      </w:pPr>
      <w:r>
        <w:rPr>
          <w:rFonts w:ascii="Times New Roman" w:hAnsi="Times New Roman"/>
          <w:b/>
          <w:i w:val="0"/>
          <w:color w:val="1E2047"/>
          <w:sz w:val="24"/>
        </w:rPr>
        <w:t>Комиссия в составе: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Председатель: </w:t>
      </w:r>
      <w:r>
        <w:rPr>
          <w:rFonts w:ascii="Times New Roman" w:hAnsi="Times New Roman"/>
          <w:b w:val="0"/>
          <w:i w:val="0"/>
          <w:color w:val="000000"/>
          <w:sz w:val="24"/>
        </w:rPr>
        <w:t>начальник отдела информационной безопасности Петров А.В.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000000"/>
          <w:sz w:val="24"/>
        </w:rPr>
        <w:t>системный администратор Сидоров С.С.</w:t>
      </w:r>
    </w:p>
    <w:p>
      <w:pPr>
        <w:spacing w:before="20" w:after="20"/>
      </w:pPr>
      <w:r>
        <w:rPr>
          <w:rFonts w:ascii="Times New Roman" w:hAnsi="Times New Roman"/>
          <w:b/>
          <w:i w:val="0"/>
          <w:color w:val="374151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000000"/>
          <w:sz w:val="24"/>
        </w:rPr>
        <w:t>бухгалтер Козлова Е.М.</w:t>
      </w:r>
    </w:p>
    <w:p>
      <w:pPr>
        <w:spacing w:before="120" w:after="80"/>
        <w:jc w:val="left"/>
      </w:pPr>
      <w:r>
        <w:rPr>
          <w:rFonts w:ascii="Times New Roman" w:hAnsi="Times New Roman"/>
          <w:b w:val="0"/>
          <w:i w:val="0"/>
          <w:color w:val="374151"/>
          <w:sz w:val="24"/>
        </w:rPr>
        <w:t>составила настоящий акт о том, что в соответствии с требованиями п. 46 Приказа ФАПСИ от 13.06.2001 №152 произвела уничтожение следующих СКЗИ и (или) ключевых документов: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>
        <w:tc>
          <w:tcPr>
            <w:tcW w:type="dxa" w:w="45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№</w:t>
              <w:br/>
              <w:t>п/п</w:t>
            </w:r>
          </w:p>
        </w:tc>
        <w:tc>
          <w:tcPr>
            <w:tcW w:type="dxa" w:w="2551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Наименование СКЗИ / ключевых документов / носителей</w:t>
            </w:r>
          </w:p>
        </w:tc>
        <w:tc>
          <w:tcPr>
            <w:tcW w:type="dxa" w:w="181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Регистрационный (серийный / криптографический) номер</w:t>
            </w:r>
          </w:p>
        </w:tc>
        <w:tc>
          <w:tcPr>
            <w:tcW w:type="dxa" w:w="680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Кол-во</w:t>
              <w:br/>
              <w:t>экз.</w:t>
            </w:r>
          </w:p>
        </w:tc>
        <w:tc>
          <w:tcPr>
            <w:tcW w:type="dxa" w:w="1587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Способ уничтожения</w:t>
            </w:r>
          </w:p>
        </w:tc>
        <w:tc>
          <w:tcPr>
            <w:tcW w:type="dxa" w:w="1134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Дата</w:t>
              <w:br/>
              <w:t>уничтожения</w:t>
            </w:r>
          </w:p>
        </w:tc>
        <w:tc>
          <w:tcPr>
            <w:tcW w:type="dxa" w:w="1020"/>
            <w:shd w:val="clear" w:color="auto" w:fill="4F46E5"/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/>
                <w:b/>
                <w:i w:val="0"/>
                <w:color w:val="FFFFFF"/>
                <w:sz w:val="18"/>
              </w:rPr>
              <w:t>Примечание</w:t>
            </w:r>
          </w:p>
        </w:tc>
      </w:tr>
      <w:tr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КриптоПро CSP 5.0 R3, ключевой контейнер КЭП Иванова И.И.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КНТ-2025-001; крипт. номер КН-2025-001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Удаление ключевого контейнера (csptest -keyset -deletekeyset), деинсталляция ПО через стандартный деинсталлятор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15.01.2026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Срок лицензии истёк; сотрудник переведён</w:t>
            </w:r>
          </w:p>
        </w:tc>
      </w:tr>
      <w:tr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2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Носитель ключевой информации Рутокен Lite (КЭП Иванова И.И.)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S/N 87654321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Физическое разрушение: корпус разломан, чип пробит сверлом Ø6мм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15.01.2026</w:t>
            </w:r>
          </w:p>
        </w:tc>
        <w:tc>
          <w:tcPr>
            <w:tcW w:type="dxa" w:w="1336"/>
            <w:shd w:val="clear" w:color="auto" w:fill="F9FAFB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Токен возвращён при увольнении сотрудника</w:t>
            </w:r>
          </w:p>
        </w:tc>
      </w:tr>
      <w:tr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3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Ключевой документ VipNet Client 4.5 (ключ шифрования узла #007) на CD-R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ДСК-2025-007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Перезапись случайной последовательностью (3 цикла), физическое разрушение носителя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15.01.2026</w:t>
            </w:r>
          </w:p>
        </w:tc>
        <w:tc>
          <w:tcPr>
            <w:tcW w:type="dxa" w:w="1336"/>
            <w:shd w:val="clear" w:color="auto" w:fill="FFFFFF"/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/>
                <w:b w:val="0"/>
                <w:i w:val="0"/>
                <w:color w:val="374151"/>
                <w:sz w:val="18"/>
              </w:rPr>
              <w:t>Плановая ротация ключей</w:t>
            </w:r>
          </w:p>
        </w:tc>
      </w:tr>
    </w:tbl>
    <w:p>
      <w:pPr>
        <w:spacing w:before="120" w:after="40"/>
        <w:jc w:val="left"/>
      </w:pPr>
      <w:r>
        <w:rPr>
          <w:rFonts w:ascii="Times New Roman" w:hAnsi="Times New Roman"/>
          <w:b/>
          <w:i w:val="0"/>
          <w:color w:val="1E2047"/>
          <w:sz w:val="24"/>
        </w:rPr>
        <w:t>Всего уничтожено 3 (три) наименования, 3 (три) экземпляра.</w:t>
      </w:r>
    </w:p>
    <w:p>
      <w:pPr>
        <w:spacing w:before="160" w:after="0"/>
        <w:jc w:val="left"/>
      </w:pPr>
      <w:r>
        <w:rPr>
          <w:rFonts w:ascii="Times New Roman" w:hAnsi="Times New Roman"/>
          <w:b w:val="0"/>
          <w:i w:val="0"/>
          <w:sz w:val="12"/>
        </w:rPr>
      </w:r>
    </w:p>
    <w:p>
      <w:pPr>
        <w:spacing w:before="60" w:after="6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Председатель комиссии: </w:t>
      </w:r>
      <w:r>
        <w:rPr>
          <w:rFonts w:ascii="Times New Roman" w:hAnsi="Times New Roman"/>
          <w:b w:val="0"/>
          <w:i w:val="0"/>
          <w:color w:val="000000"/>
          <w:sz w:val="24"/>
        </w:rPr>
        <w:t>_____________ / Петров А.В. / «15» января 2026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(начальник отдела ИБ)</w:t>
      </w:r>
    </w:p>
    <w:p>
      <w:pPr>
        <w:spacing w:before="60" w:after="6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000000"/>
          <w:sz w:val="24"/>
        </w:rPr>
        <w:t>_____________ / Сидоров С.С. / «15» января 2026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(системный администратор)</w:t>
      </w:r>
    </w:p>
    <w:p>
      <w:pPr>
        <w:spacing w:before="60" w:after="60"/>
      </w:pPr>
      <w:r>
        <w:rPr>
          <w:rFonts w:ascii="Times New Roman" w:hAnsi="Times New Roman"/>
          <w:b/>
          <w:i w:val="0"/>
          <w:color w:val="1E2047"/>
          <w:sz w:val="24"/>
        </w:rPr>
        <w:t xml:space="preserve">Член комиссии: </w:t>
      </w:r>
      <w:r>
        <w:rPr>
          <w:rFonts w:ascii="Times New Roman" w:hAnsi="Times New Roman"/>
          <w:b w:val="0"/>
          <w:i w:val="0"/>
          <w:color w:val="000000"/>
          <w:sz w:val="24"/>
        </w:rPr>
        <w:t>_____________ / Козлова Е.М. / «15» января 2026 г.</w:t>
      </w:r>
    </w:p>
    <w:p>
      <w:pPr>
        <w:spacing w:before="0" w:after="40"/>
        <w:ind w:left="2551"/>
      </w:pPr>
      <w:r>
        <w:rPr>
          <w:rFonts w:ascii="Times New Roman" w:hAnsi="Times New Roman"/>
          <w:b w:val="0"/>
          <w:i/>
          <w:color w:val="6B7280"/>
          <w:sz w:val="18"/>
        </w:rPr>
        <w:t>(бухгалтер)</w:t>
      </w:r>
    </w:p>
    <w:p>
      <w:pPr>
        <w:spacing w:before="200" w:after="0"/>
        <w:jc w:val="left"/>
      </w:pPr>
      <w:r>
        <w:rPr>
          <w:rFonts w:ascii="Times New Roman" w:hAnsi="Times New Roman"/>
          <w:b w:val="0"/>
          <w:i w:val="0"/>
          <w:sz w:val="12"/>
        </w:rPr>
      </w:r>
    </w:p>
    <w:p>
      <w:pPr>
        <w:spacing w:before="40" w:after="0"/>
      </w:pPr>
      <w:r>
        <w:rPr>
          <w:rFonts w:ascii="Times New Roman" w:hAnsi="Times New Roman"/>
          <w:b w:val="0"/>
          <w:i/>
          <w:color w:val="6B7280"/>
          <w:sz w:val="16"/>
        </w:rPr>
        <w:t>Составляется на основании п. 46 Приказа ФАПСИ от 13.06.2001 №152. Хранится в органе криптографической защиты не менее 5 лет. Шаблон: sgrc.cyberosnova.ru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