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содержание"/>
    <w:p>
      <w:pPr>
        <w:pStyle w:val="Heading2"/>
      </w:pPr>
      <w:r>
        <w:t xml:space="preserve">СОДЕРЖАНИЕ</w:t>
      </w:r>
    </w:p>
    <w:p>
      <w:pPr>
        <w:pStyle w:val="Compact"/>
        <w:numPr>
          <w:ilvl w:val="0"/>
          <w:numId w:val="1001"/>
        </w:numPr>
      </w:pPr>
      <w:r>
        <w:t xml:space="preserve">Общие положения</w:t>
      </w:r>
    </w:p>
    <w:p>
      <w:pPr>
        <w:pStyle w:val="Compact"/>
        <w:numPr>
          <w:ilvl w:val="0"/>
          <w:numId w:val="1001"/>
        </w:numPr>
      </w:pPr>
      <w:r>
        <w:t xml:space="preserve">Термины и определения</w:t>
      </w:r>
    </w:p>
    <w:p>
      <w:pPr>
        <w:pStyle w:val="Compact"/>
        <w:numPr>
          <w:ilvl w:val="0"/>
          <w:numId w:val="1001"/>
        </w:numPr>
      </w:pPr>
      <w:r>
        <w:t xml:space="preserve">Область применения</w:t>
      </w:r>
    </w:p>
    <w:p>
      <w:pPr>
        <w:pStyle w:val="Compact"/>
        <w:numPr>
          <w:ilvl w:val="0"/>
          <w:numId w:val="1001"/>
        </w:numPr>
      </w:pPr>
      <w:r>
        <w:t xml:space="preserve">Требования к составу и сложности паролей</w:t>
      </w:r>
    </w:p>
    <w:p>
      <w:pPr>
        <w:pStyle w:val="Compact"/>
        <w:numPr>
          <w:ilvl w:val="0"/>
          <w:numId w:val="1001"/>
        </w:numPr>
      </w:pPr>
      <w:r>
        <w:t xml:space="preserve">Требования к паролям привилегированных учётных записей</w:t>
      </w:r>
    </w:p>
    <w:p>
      <w:pPr>
        <w:pStyle w:val="Compact"/>
        <w:numPr>
          <w:ilvl w:val="0"/>
          <w:numId w:val="1001"/>
        </w:numPr>
      </w:pPr>
      <w:r>
        <w:t xml:space="preserve">Требования к паролям сервисных и технологических учётных записей</w:t>
      </w:r>
    </w:p>
    <w:p>
      <w:pPr>
        <w:pStyle w:val="Compact"/>
        <w:numPr>
          <w:ilvl w:val="0"/>
          <w:numId w:val="1001"/>
        </w:numPr>
      </w:pPr>
      <w:r>
        <w:t xml:space="preserve">Многофакторная аутентификация</w:t>
      </w:r>
    </w:p>
    <w:p>
      <w:pPr>
        <w:pStyle w:val="Compact"/>
        <w:numPr>
          <w:ilvl w:val="0"/>
          <w:numId w:val="1001"/>
        </w:numPr>
      </w:pPr>
      <w:r>
        <w:t xml:space="preserve">Порядок создания, смены и хранения паролей</w:t>
      </w:r>
    </w:p>
    <w:p>
      <w:pPr>
        <w:pStyle w:val="Compact"/>
        <w:numPr>
          <w:ilvl w:val="0"/>
          <w:numId w:val="1001"/>
        </w:numPr>
      </w:pPr>
      <w:r>
        <w:t xml:space="preserve">Правила ввода и использования паролей</w:t>
      </w:r>
    </w:p>
    <w:p>
      <w:pPr>
        <w:pStyle w:val="Compact"/>
        <w:numPr>
          <w:ilvl w:val="0"/>
          <w:numId w:val="1001"/>
        </w:numPr>
      </w:pPr>
      <w:r>
        <w:t xml:space="preserve">Действия при компрометации пароля</w:t>
      </w:r>
    </w:p>
    <w:p>
      <w:pPr>
        <w:pStyle w:val="Compact"/>
        <w:numPr>
          <w:ilvl w:val="0"/>
          <w:numId w:val="1001"/>
        </w:numPr>
      </w:pPr>
      <w:r>
        <w:t xml:space="preserve">Контроль соблюдения парольной политики</w:t>
      </w:r>
    </w:p>
    <w:p>
      <w:pPr>
        <w:pStyle w:val="Compact"/>
        <w:numPr>
          <w:ilvl w:val="0"/>
          <w:numId w:val="1001"/>
        </w:numPr>
      </w:pPr>
      <w:r>
        <w:t xml:space="preserve">Ответственность за нарушение</w:t>
      </w:r>
    </w:p>
    <w:p>
      <w:pPr>
        <w:pStyle w:val="Compact"/>
        <w:numPr>
          <w:ilvl w:val="0"/>
          <w:numId w:val="1001"/>
        </w:numPr>
      </w:pPr>
      <w:r>
        <w:t xml:space="preserve">Заключительные положения</w:t>
      </w:r>
    </w:p>
    <w:p>
      <w:pPr>
        <w:pStyle w:val="FirstParagraph"/>
      </w:pPr>
      <w:r>
        <w:rPr>
          <w:b/>
          <w:bCs/>
        </w:rPr>
        <w:t xml:space="preserve">Приложение 1.</w:t>
      </w:r>
      <w:r>
        <w:t xml:space="preserve"> </w:t>
      </w:r>
      <w:r>
        <w:t xml:space="preserve">Требования к паролям по классам (уровням) защищённости информационных систем</w:t>
      </w:r>
      <w:r>
        <w:t xml:space="preserve"> </w:t>
      </w:r>
      <w:r>
        <w:rPr>
          <w:b/>
          <w:bCs/>
        </w:rPr>
        <w:t xml:space="preserve">Приложение 2.</w:t>
      </w:r>
      <w:r>
        <w:t xml:space="preserve"> </w:t>
      </w:r>
      <w:r>
        <w:t xml:space="preserve">Форма листа ознакомления с Парольной политикой</w:t>
      </w:r>
    </w:p>
    <w:bookmarkEnd w:id="20"/>
    <w:bookmarkStart w:id="21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Настоящая Парольная политика (далее — Политика)</w:t>
      </w:r>
      <w:r>
        <w:t xml:space="preserve"> </w:t>
      </w:r>
      <w:r>
        <w:rPr>
          <w:b/>
          <w:bCs/>
        </w:rPr>
        <w:t xml:space="preserve">[ПОЛНОЕ НАИМЕНОВАНИЕ ОРГАНИЗАЦИИ]</w:t>
      </w:r>
      <w:r>
        <w:t xml:space="preserve"> </w:t>
      </w:r>
      <w:r>
        <w:t xml:space="preserve">(далее — Организация) определяет единые требования к созданию, использованию, смене, хранению и защите парольной информации, применяемой для доступа к информационным ресурсам Организации.</w:t>
      </w:r>
    </w:p>
    <w:p>
      <w:pPr>
        <w:pStyle w:val="BodyText"/>
      </w:pPr>
      <w:r>
        <w:t xml:space="preserve">1.2. Политика разработана в соответствии с:</w:t>
      </w:r>
      <w:r>
        <w:t xml:space="preserve"> </w:t>
      </w:r>
      <w:r>
        <w:t xml:space="preserve">— Приказом ФСТЭК России № 117 (в части мер группы ИАФ «Идентификация и аутентификация», вступил в силу с 01.03.2026);</w:t>
      </w:r>
      <w:r>
        <w:t xml:space="preserve"> </w:t>
      </w:r>
      <w:r>
        <w:t xml:space="preserve">— Приказом ФСТЭК России от 18.02.2013 № 21 (для информационных систем персональных данных);</w:t>
      </w:r>
      <w:r>
        <w:t xml:space="preserve"> </w:t>
      </w:r>
      <w:r>
        <w:t xml:space="preserve">— Приказом ФСТЭК России от 25.12.2017 № 239 (для значимых объектов КИИ);</w:t>
      </w:r>
      <w:r>
        <w:t xml:space="preserve"> </w:t>
      </w:r>
      <w:r>
        <w:t xml:space="preserve">— Методическим документом ФСТЭК России «Меры защиты информации в государственных информационных системах»;</w:t>
      </w:r>
      <w:r>
        <w:t xml:space="preserve"> </w:t>
      </w:r>
      <w:r>
        <w:t xml:space="preserve">— ГОСТ Р 57580.1-2017 «Безопасность финансовых (банковских) операций. Защита информации финансовых организаций» (для финансовых организаций);</w:t>
      </w:r>
      <w:r>
        <w:t xml:space="preserve"> </w:t>
      </w:r>
      <w:r>
        <w:t xml:space="preserve">— ГОСТ Р ИСО/МЭК 27001-2021 и ГОСТ Р ИСО/МЭК 27002-2021;</w:t>
      </w:r>
      <w:r>
        <w:t xml:space="preserve"> </w:t>
      </w:r>
      <w:r>
        <w:t xml:space="preserve">— Политикой информационной безопасности Организации.</w:t>
      </w:r>
    </w:p>
    <w:p>
      <w:pPr>
        <w:pStyle w:val="BodyText"/>
      </w:pPr>
      <w:r>
        <w:t xml:space="preserve">1.3. Политика обязательна для всех работников Организации, имеющих учётные записи в информационных системах, а также для контрагентов и третьих лиц, получающих доступ к информационным ресурсам Организации.</w:t>
      </w:r>
    </w:p>
    <w:p>
      <w:pPr>
        <w:pStyle w:val="BodyText"/>
      </w:pPr>
      <w:r>
        <w:t xml:space="preserve">1.4. Парольная информация относится к сведениям ограниченного доступа и подлежит защите от разглашения.</w:t>
      </w:r>
    </w:p>
    <w:p>
      <w:pPr>
        <w:pStyle w:val="BodyText"/>
      </w:pPr>
      <w:r>
        <w:t xml:space="preserve">1.5. Политика действует с момента утверждения и до её отмены либо замены новой редакцией.</w:t>
      </w:r>
    </w:p>
    <w:bookmarkEnd w:id="21"/>
    <w:bookmarkStart w:id="22" w:name="термины-и-определения"/>
    <w:p>
      <w:pPr>
        <w:pStyle w:val="Heading2"/>
      </w:pPr>
      <w:r>
        <w:t xml:space="preserve">2. ТЕРМИНЫ И ОПРЕДЕЛЕНИЯ</w:t>
      </w:r>
    </w:p>
    <w:p>
      <w:pPr>
        <w:pStyle w:val="FirstParagraph"/>
      </w:pPr>
      <w:r>
        <w:rPr>
          <w:b/>
          <w:bCs/>
        </w:rPr>
        <w:t xml:space="preserve">Пароль</w:t>
      </w:r>
      <w:r>
        <w:t xml:space="preserve"> </w:t>
      </w:r>
      <w:r>
        <w:t xml:space="preserve">— последовательность символов, используемая в процессе аутентификации для подтверждения подлинности учётной записи пользователя.</w:t>
      </w:r>
    </w:p>
    <w:p>
      <w:pPr>
        <w:pStyle w:val="BodyText"/>
      </w:pPr>
      <w:r>
        <w:rPr>
          <w:b/>
          <w:bCs/>
        </w:rPr>
        <w:t xml:space="preserve">Парольная информация</w:t>
      </w:r>
      <w:r>
        <w:t xml:space="preserve"> </w:t>
      </w:r>
      <w:r>
        <w:t xml:space="preserve">— совокупность данных, связанных с паролем: сам пароль, дата создания, дата истечения срока действия, сведения о предыдущих паролях, состояние блокировки.</w:t>
      </w:r>
    </w:p>
    <w:p>
      <w:pPr>
        <w:pStyle w:val="BodyText"/>
      </w:pPr>
      <w:r>
        <w:rPr>
          <w:b/>
          <w:bCs/>
        </w:rPr>
        <w:t xml:space="preserve">Парольная фраза</w:t>
      </w:r>
      <w:r>
        <w:t xml:space="preserve"> </w:t>
      </w:r>
      <w:r>
        <w:t xml:space="preserve">— пароль, состоящий из нескольких слов, разделённых пробелами или иными символами, применяемый в качестве альтернативы традиционному паролю.</w:t>
      </w:r>
    </w:p>
    <w:p>
      <w:pPr>
        <w:pStyle w:val="BodyText"/>
      </w:pPr>
      <w:r>
        <w:rPr>
          <w:b/>
          <w:bCs/>
        </w:rPr>
        <w:t xml:space="preserve">Учётная запись (УЗ)</w:t>
      </w:r>
      <w:r>
        <w:t xml:space="preserve"> </w:t>
      </w:r>
      <w:r>
        <w:t xml:space="preserve">— объект в информационной системе, содержащий сведения о пользователе (идентификатор, пароль, права доступа, принадлежность к группам).</w:t>
      </w:r>
    </w:p>
    <w:p>
      <w:pPr>
        <w:pStyle w:val="BodyText"/>
      </w:pPr>
      <w:r>
        <w:rPr>
          <w:b/>
          <w:bCs/>
        </w:rPr>
        <w:t xml:space="preserve">Привилегированная учётная запись</w:t>
      </w:r>
      <w:r>
        <w:t xml:space="preserve"> </w:t>
      </w:r>
      <w:r>
        <w:t xml:space="preserve">— учётная запись, обладающая повышенными правами (администраторы систем, администраторы безопасности, учётные записи с возможностью управления правами других пользователей).</w:t>
      </w:r>
    </w:p>
    <w:p>
      <w:pPr>
        <w:pStyle w:val="BodyText"/>
      </w:pPr>
      <w:r>
        <w:rPr>
          <w:b/>
          <w:bCs/>
        </w:rPr>
        <w:t xml:space="preserve">Сервисная (технологическая) учётная запись</w:t>
      </w:r>
      <w:r>
        <w:t xml:space="preserve"> </w:t>
      </w:r>
      <w:r>
        <w:t xml:space="preserve">— учётная запись, используемая не физическим лицом, а программным обеспечением либо автоматизированным процессом для взаимодействия между компонентами информационных систем.</w:t>
      </w:r>
    </w:p>
    <w:p>
      <w:pPr>
        <w:pStyle w:val="BodyText"/>
      </w:pPr>
      <w:r>
        <w:rPr>
          <w:b/>
          <w:bCs/>
        </w:rPr>
        <w:t xml:space="preserve">Идентификация</w:t>
      </w:r>
      <w:r>
        <w:t xml:space="preserve"> </w:t>
      </w:r>
      <w:r>
        <w:t xml:space="preserve">— присвоение субъекту уникального признака (идентификатора).</w:t>
      </w:r>
    </w:p>
    <w:p>
      <w:pPr>
        <w:pStyle w:val="BodyText"/>
      </w:pPr>
      <w:r>
        <w:rPr>
          <w:b/>
          <w:bCs/>
        </w:rPr>
        <w:t xml:space="preserve">Аутентификация</w:t>
      </w:r>
      <w:r>
        <w:t xml:space="preserve"> </w:t>
      </w:r>
      <w:r>
        <w:t xml:space="preserve">— проверка принадлежности субъекту предъявленного им идентификатора (подтверждение подлинности).</w:t>
      </w:r>
    </w:p>
    <w:p>
      <w:pPr>
        <w:pStyle w:val="BodyText"/>
      </w:pPr>
      <w:r>
        <w:rPr>
          <w:b/>
          <w:bCs/>
        </w:rPr>
        <w:t xml:space="preserve">Многофакторная аутентификация (МФА)</w:t>
      </w:r>
      <w:r>
        <w:t xml:space="preserve"> </w:t>
      </w:r>
      <w:r>
        <w:t xml:space="preserve">— способ аутентификации, при котором для подтверждения подлинности используются минимум два независимых фактора: знание (пароль), владение (токен, смартфон), биометрия.</w:t>
      </w:r>
    </w:p>
    <w:p>
      <w:pPr>
        <w:pStyle w:val="BodyText"/>
      </w:pPr>
      <w:r>
        <w:rPr>
          <w:b/>
          <w:bCs/>
        </w:rPr>
        <w:t xml:space="preserve">Компрометация пароля</w:t>
      </w:r>
      <w:r>
        <w:t xml:space="preserve"> </w:t>
      </w:r>
      <w:r>
        <w:t xml:space="preserve">— утрата доверия к тому, что используемый пароль обеспечивает безопасность информации (разглашение, похищение, подбор, потеря носителя с записанным паролем).</w:t>
      </w:r>
    </w:p>
    <w:p>
      <w:pPr>
        <w:pStyle w:val="BodyText"/>
      </w:pPr>
      <w:r>
        <w:rPr>
          <w:b/>
          <w:bCs/>
        </w:rPr>
        <w:t xml:space="preserve">Система парольной защиты</w:t>
      </w:r>
      <w:r>
        <w:t xml:space="preserve"> </w:t>
      </w:r>
      <w:r>
        <w:t xml:space="preserve">— программно-аппаратные средства, обеспечивающие генерацию, хранение, проверку, смену и блокировку паролей в информационной системе.</w:t>
      </w:r>
    </w:p>
    <w:bookmarkEnd w:id="22"/>
    <w:bookmarkStart w:id="23" w:name="область-применения"/>
    <w:p>
      <w:pPr>
        <w:pStyle w:val="Heading2"/>
      </w:pPr>
      <w:r>
        <w:t xml:space="preserve">3. ОБЛАСТЬ ПРИМЕНЕНИЯ</w:t>
      </w:r>
    </w:p>
    <w:p>
      <w:pPr>
        <w:pStyle w:val="FirstParagraph"/>
      </w:pPr>
      <w:r>
        <w:t xml:space="preserve">3.1. Настоящая Политика распространяется на все виды паролей, применяемых в Организации:</w:t>
      </w:r>
    </w:p>
    <w:p>
      <w:pPr>
        <w:pStyle w:val="BodyText"/>
      </w:pPr>
      <w:r>
        <w:t xml:space="preserve">— пароли пользовательских учётных записей в операционных системах;</w:t>
      </w:r>
      <w:r>
        <w:t xml:space="preserve"> </w:t>
      </w:r>
      <w:r>
        <w:t xml:space="preserve">— пароли учётных записей в прикладных информационных системах;</w:t>
      </w:r>
      <w:r>
        <w:t xml:space="preserve"> </w:t>
      </w:r>
      <w:r>
        <w:t xml:space="preserve">— пароли доменных учётных записей (Active Directory и аналоги);</w:t>
      </w:r>
      <w:r>
        <w:t xml:space="preserve"> </w:t>
      </w:r>
      <w:r>
        <w:t xml:space="preserve">— пароли учётных записей в базах данных;</w:t>
      </w:r>
      <w:r>
        <w:t xml:space="preserve"> </w:t>
      </w:r>
      <w:r>
        <w:t xml:space="preserve">— пароли привилегированных учётных записей (администраторы, root);</w:t>
      </w:r>
      <w:r>
        <w:t xml:space="preserve"> </w:t>
      </w:r>
      <w:r>
        <w:t xml:space="preserve">— пароли сервисных учётных записей;</w:t>
      </w:r>
      <w:r>
        <w:t xml:space="preserve"> </w:t>
      </w:r>
      <w:r>
        <w:t xml:space="preserve">— PIN-коды и пароли для аппаратных токенов, смарт-карт, криптоключей;</w:t>
      </w:r>
      <w:r>
        <w:t xml:space="preserve"> </w:t>
      </w:r>
      <w:r>
        <w:t xml:space="preserve">— пароли доступа к сетевому оборудованию и средствам защиты информации;</w:t>
      </w:r>
      <w:r>
        <w:t xml:space="preserve"> </w:t>
      </w:r>
      <w:r>
        <w:t xml:space="preserve">— пароли для удалённого доступа (VPN, RDP, SSH);</w:t>
      </w:r>
      <w:r>
        <w:t xml:space="preserve"> </w:t>
      </w:r>
      <w:r>
        <w:t xml:space="preserve">— пароли для доступа к облачным сервисам, используемым в служебных целях.</w:t>
      </w:r>
    </w:p>
    <w:p>
      <w:pPr>
        <w:pStyle w:val="BodyText"/>
      </w:pPr>
      <w:r>
        <w:t xml:space="preserve">3.2. Требования Политики применяются независимо от способа аутентификации (локальная, доменная, с использованием средств криптографической защиты).</w:t>
      </w:r>
    </w:p>
    <w:bookmarkEnd w:id="23"/>
    <w:bookmarkStart w:id="24" w:name="требования-к-составу-и-сложности-паролей"/>
    <w:p>
      <w:pPr>
        <w:pStyle w:val="Heading2"/>
      </w:pPr>
      <w:r>
        <w:t xml:space="preserve">4. ТРЕБОВАНИЯ К СОСТАВУ И СЛОЖНОСТИ ПАРОЛЕЙ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  <w:bCs/>
        </w:rPr>
        <w:t xml:space="preserve">Минимальная длина пароля:</w:t>
      </w:r>
      <w:r>
        <w:t xml:space="preserve"> </w:t>
      </w:r>
      <w:r>
        <w:t xml:space="preserve">— не менее 8 символов — для базового класса защиты (ИСПДн УЗ-4, ГИС 4 класса, КИИ 3 категории);</w:t>
      </w:r>
      <w:r>
        <w:t xml:space="preserve"> </w:t>
      </w:r>
      <w:r>
        <w:t xml:space="preserve">— не менее 10 символов — для среднего класса защиты (ИСПДн УЗ-3, ГИС 3 класса, КИИ 2 категории);</w:t>
      </w:r>
      <w:r>
        <w:t xml:space="preserve"> </w:t>
      </w:r>
      <w:r>
        <w:t xml:space="preserve">— не менее 12 символов — для повышенного класса защиты (ИСПДн УЗ-2, ГИС 2 класса);</w:t>
      </w:r>
      <w:r>
        <w:t xml:space="preserve"> </w:t>
      </w:r>
      <w:r>
        <w:t xml:space="preserve">— не менее 14 символов — для максимального класса защиты (ИСПДн УЗ-1, ГИС 1 класса, КИИ 1 категории).</w:t>
      </w:r>
    </w:p>
    <w:p>
      <w:pPr>
        <w:pStyle w:val="BodyText"/>
      </w:pPr>
      <w:r>
        <w:t xml:space="preserve">Конкретные значения для информационных систем Организации устанавливаются в соответствии с Приложением 1 и утверждаются приказом руководителя.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  <w:bCs/>
        </w:rPr>
        <w:t xml:space="preserve">Требования к составу символов:</w:t>
      </w:r>
    </w:p>
    <w:p>
      <w:pPr>
        <w:pStyle w:val="BodyText"/>
      </w:pPr>
      <w:r>
        <w:t xml:space="preserve">Пароль должен содержать символы не менее чем из трёх (3) из следующих четырёх (4) категорий:</w:t>
      </w:r>
      <w:r>
        <w:t xml:space="preserve"> </w:t>
      </w:r>
      <w:r>
        <w:t xml:space="preserve">— заглавные латинские буквы (A–Z);</w:t>
      </w:r>
      <w:r>
        <w:t xml:space="preserve"> </w:t>
      </w:r>
      <w:r>
        <w:t xml:space="preserve">— строчные латинские буквы (a–z);</w:t>
      </w:r>
      <w:r>
        <w:t xml:space="preserve"> </w:t>
      </w:r>
      <w:r>
        <w:t xml:space="preserve">— цифры (0–9);</w:t>
      </w:r>
      <w:r>
        <w:t xml:space="preserve"> </w:t>
      </w:r>
      <w:r>
        <w:t xml:space="preserve">— специальные символы (!, #, $, %, &amp;, *, @, ^, +, -, =, ?, {, }, [, ], /, ~).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  <w:bCs/>
        </w:rPr>
        <w:t xml:space="preserve">Запрет очевидных и легко подбираемых паролей.</w:t>
      </w:r>
      <w:r>
        <w:t xml:space="preserve"> </w:t>
      </w:r>
      <w:r>
        <w:t xml:space="preserve">Запрещается использовать:</w:t>
      </w:r>
    </w:p>
    <w:p>
      <w:pPr>
        <w:pStyle w:val="BodyText"/>
      </w:pPr>
      <w:r>
        <w:t xml:space="preserve">— имя учётной записи пользователя (login) или любую его часть;</w:t>
      </w:r>
      <w:r>
        <w:t xml:space="preserve"> </w:t>
      </w:r>
      <w:r>
        <w:t xml:space="preserve">— фамилию, имя, отчество пользователя или членов его семьи в любых вариантах;</w:t>
      </w:r>
      <w:r>
        <w:t xml:space="preserve"> </w:t>
      </w:r>
      <w:r>
        <w:t xml:space="preserve">— даты рождения, номера телефонов, номера автомобилей, паспортные данные;</w:t>
      </w:r>
      <w:r>
        <w:t xml:space="preserve"> </w:t>
      </w:r>
      <w:r>
        <w:t xml:space="preserve">— клички домашних животных, названия любимых книг, фильмов, спортивных команд;</w:t>
      </w:r>
      <w:r>
        <w:t xml:space="preserve"> </w:t>
      </w:r>
      <w:r>
        <w:t xml:space="preserve">— общепринятые словарные слова на любом языке (в том числе на русском в транслитерации);</w:t>
      </w:r>
      <w:r>
        <w:t xml:space="preserve"> </w:t>
      </w:r>
      <w:r>
        <w:t xml:space="preserve">— аббревиатуры и сокращения, широко употребляемые в профессиональной среде или в Организации;</w:t>
      </w:r>
      <w:r>
        <w:t xml:space="preserve"> </w:t>
      </w:r>
      <w:r>
        <w:t xml:space="preserve">— типовые последовательности символов: «123456», «qwerty», «password», «111111», «abcdef»;</w:t>
      </w:r>
      <w:r>
        <w:t xml:space="preserve"> </w:t>
      </w:r>
      <w:r>
        <w:t xml:space="preserve">— последовательности соседних клавиш на клавиатуре: «qwertyu», «asdfgh», «zxcvbn», «1qaz2wsx»;</w:t>
      </w:r>
      <w:r>
        <w:t xml:space="preserve"> </w:t>
      </w:r>
      <w:r>
        <w:t xml:space="preserve">— надписи, видимые с рабочего места (таблички, постеры, названия оборудования, серийные номера).</w:t>
      </w:r>
    </w:p>
    <w:p>
      <w:pPr>
        <w:pStyle w:val="BodyText"/>
      </w:pPr>
      <w:r>
        <w:t xml:space="preserve">4.4.</w:t>
      </w:r>
      <w:r>
        <w:t xml:space="preserve"> </w:t>
      </w:r>
      <w:r>
        <w:rPr>
          <w:b/>
          <w:bCs/>
        </w:rPr>
        <w:t xml:space="preserve">Отличие нового пароля от предыдущего.</w:t>
      </w:r>
      <w:r>
        <w:t xml:space="preserve"> </w:t>
      </w:r>
      <w:r>
        <w:t xml:space="preserve">При смене пароля новый пароль должен отличаться от предыдущего не менее чем в четырёх (4) позициях и не должен содержать в своём составе части ранее использованных паролей.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  <w:bCs/>
        </w:rPr>
        <w:t xml:space="preserve">Запрет повторного использования.</w:t>
      </w:r>
      <w:r>
        <w:t xml:space="preserve"> </w:t>
      </w:r>
      <w:r>
        <w:t xml:space="preserve">Пользователь не может повторно использовать пароли, входившие в число последних десяти (10) паролей этой учётной записи. Для привилегированных учётных записей — в число последних двадцати (20) паролей.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  <w:bCs/>
        </w:rPr>
        <w:t xml:space="preserve">Минимальный срок действия пароля.</w:t>
      </w:r>
      <w:r>
        <w:t xml:space="preserve"> </w:t>
      </w:r>
      <w:r>
        <w:t xml:space="preserve">Пароль не может быть изменён ранее чем через 10 дней после его установки (исключение — вынужденная смена при подозрении на компрометацию).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  <w:bCs/>
        </w:rPr>
        <w:t xml:space="preserve">Учёт регистра.</w:t>
      </w:r>
      <w:r>
        <w:t xml:space="preserve"> </w:t>
      </w:r>
      <w:r>
        <w:t xml:space="preserve">Пароли являются регистрозависимыми и вводятся с учётом регистра символов.</w:t>
      </w:r>
    </w:p>
    <w:bookmarkEnd w:id="24"/>
    <w:bookmarkStart w:id="25" w:name="X2586847c1f8a5e18f838389ef2fef80108c08c4"/>
    <w:p>
      <w:pPr>
        <w:pStyle w:val="Heading2"/>
      </w:pPr>
      <w:r>
        <w:t xml:space="preserve">5. ТРЕБОВАНИЯ К ПАРОЛЯМ ПРИВИЛЕГИРОВАННЫХ УЧЁТНЫХ ЗАПИСЕЙ</w:t>
      </w:r>
    </w:p>
    <w:p>
      <w:pPr>
        <w:pStyle w:val="FirstParagraph"/>
      </w:pPr>
      <w:r>
        <w:t xml:space="preserve">5.1. Привилегированные учётные записи (администраторы операционных систем, администраторы баз данных, администраторы сетевого оборудования, администраторы средств защиты информации) требуют повышенной защиты парольной информации.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  <w:bCs/>
        </w:rPr>
        <w:t xml:space="preserve">Дополнительные требования к паролям привилегированных учётных записей:</w:t>
      </w:r>
    </w:p>
    <w:p>
      <w:pPr>
        <w:pStyle w:val="BodyText"/>
      </w:pPr>
      <w:r>
        <w:t xml:space="preserve">— минимальная длина — не менее 14 символов;</w:t>
      </w:r>
      <w:r>
        <w:t xml:space="preserve"> </w:t>
      </w:r>
      <w:r>
        <w:t xml:space="preserve">— обязательное использование символов всех четырёх (4) категорий (заглавные, строчные, цифры, спецсимволы);</w:t>
      </w:r>
      <w:r>
        <w:t xml:space="preserve"> </w:t>
      </w:r>
      <w:r>
        <w:t xml:space="preserve">— обязательная многофакторная аутентификация при входе;</w:t>
      </w:r>
      <w:r>
        <w:t xml:space="preserve"> </w:t>
      </w:r>
      <w:r>
        <w:t xml:space="preserve">— запрет использования привилегированной учётной записи для выполнения задач, не требующих повышенных прав;</w:t>
      </w:r>
      <w:r>
        <w:t xml:space="preserve"> </w:t>
      </w:r>
      <w:r>
        <w:t xml:space="preserve">— персональная учётная запись на каждого администратора (запрет «общих» учётных записей типа «admin», «root», «administrator» за исключением случаев, когда такие УЗ необходимы и защищены дополнительными мерами);</w:t>
      </w:r>
      <w:r>
        <w:t xml:space="preserve"> </w:t>
      </w:r>
      <w:r>
        <w:t xml:space="preserve">— максимальный срок действия — не более 60 дней;</w:t>
      </w:r>
      <w:r>
        <w:t xml:space="preserve"> </w:t>
      </w:r>
      <w:r>
        <w:t xml:space="preserve">— запрет запоминания пароля в браузерах и менеджерах паролей общего назначения.</w:t>
      </w:r>
    </w:p>
    <w:p>
      <w:pPr>
        <w:pStyle w:val="BodyText"/>
      </w:pPr>
      <w:r>
        <w:t xml:space="preserve">5.3. Каждая привилегированная учётная запись фиксируется в реестре привилегированных учётных записей Организации с указанием ответственного работника, целевой системы и основания предоставления привилегий.</w:t>
      </w:r>
    </w:p>
    <w:p>
      <w:pPr>
        <w:pStyle w:val="BodyText"/>
      </w:pPr>
      <w:r>
        <w:t xml:space="preserve">5.4. Все действия, выполненные от имени привилегированной учётной записи, регистрируются в журналах аудита и подлежат периодическому анализу ответственным за информационную безопасность.</w:t>
      </w:r>
    </w:p>
    <w:bookmarkEnd w:id="25"/>
    <w:bookmarkStart w:id="26" w:name="Xb86f6fbc3cebe823ec48ffb52f384277678c1c1"/>
    <w:p>
      <w:pPr>
        <w:pStyle w:val="Heading2"/>
      </w:pPr>
      <w:r>
        <w:t xml:space="preserve">6. ТРЕБОВАНИЯ К ПАРОЛЯМ СЕРВИСНЫХ И ТЕХНОЛОГИЧЕСКИХ УЧЁТНЫХ ЗАПИСЕЙ</w:t>
      </w:r>
    </w:p>
    <w:p>
      <w:pPr>
        <w:pStyle w:val="FirstParagraph"/>
      </w:pPr>
      <w:r>
        <w:t xml:space="preserve">6.1. Сервисные учётные записи, используемые программным обеспечением и автоматизированными процессами, также подлежат защите парольной информацией.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  <w:bCs/>
        </w:rPr>
        <w:t xml:space="preserve">Требования к паролям сервисных учётных записей:</w:t>
      </w:r>
    </w:p>
    <w:p>
      <w:pPr>
        <w:pStyle w:val="BodyText"/>
      </w:pPr>
      <w:r>
        <w:t xml:space="preserve">— минимальная длина — не менее 20 символов;</w:t>
      </w:r>
      <w:r>
        <w:t xml:space="preserve"> </w:t>
      </w:r>
      <w:r>
        <w:t xml:space="preserve">— генерация пароля осуществляется автоматически средствами криптографически стойкого генератора случайных чисел;</w:t>
      </w:r>
      <w:r>
        <w:t xml:space="preserve"> </w:t>
      </w:r>
      <w:r>
        <w:t xml:space="preserve">— запрет интерактивного входа под сервисной учётной записью;</w:t>
      </w:r>
      <w:r>
        <w:t xml:space="preserve"> </w:t>
      </w:r>
      <w:r>
        <w:t xml:space="preserve">— пароль хранится исключительно в защищённом хранилище секретов (корпоративный менеджер паролей, секрет-менеджер), с контролем доступа и аудитом обращений;</w:t>
      </w:r>
      <w:r>
        <w:t xml:space="preserve"> </w:t>
      </w:r>
      <w:r>
        <w:t xml:space="preserve">— смена пароля производится при компрометации, при увольнении работника, имевшего к нему доступ, а также планово — не реже одного раза в 180 дней;</w:t>
      </w:r>
      <w:r>
        <w:t xml:space="preserve"> </w:t>
      </w:r>
      <w:r>
        <w:t xml:space="preserve">— запрет хранения пароля в исходном коде, конфигурационных файлах в открытом виде, в системах контроля версий.</w:t>
      </w:r>
    </w:p>
    <w:p>
      <w:pPr>
        <w:pStyle w:val="BodyText"/>
      </w:pPr>
      <w:r>
        <w:t xml:space="preserve">6.3. Список сервисных учётных записей ведётся и актуализируется ответственным за информационную безопасность.</w:t>
      </w:r>
    </w:p>
    <w:bookmarkEnd w:id="26"/>
    <w:bookmarkStart w:id="27" w:name="многофакторная-аутентификация"/>
    <w:p>
      <w:pPr>
        <w:pStyle w:val="Heading2"/>
      </w:pPr>
      <w:r>
        <w:t xml:space="preserve">7. МНОГОФАКТОРНАЯ АУТЕНТИФИКАЦИЯ</w:t>
      </w:r>
    </w:p>
    <w:p>
      <w:pPr>
        <w:pStyle w:val="FirstParagraph"/>
      </w:pPr>
      <w:r>
        <w:t xml:space="preserve">7.1. Многофакторная аутентификация (МФА) является обязательной для:</w:t>
      </w:r>
    </w:p>
    <w:p>
      <w:pPr>
        <w:pStyle w:val="BodyText"/>
      </w:pPr>
      <w:r>
        <w:t xml:space="preserve">— привилегированных учётных записей (администраторы любых систем);</w:t>
      </w:r>
      <w:r>
        <w:t xml:space="preserve"> </w:t>
      </w:r>
      <w:r>
        <w:t xml:space="preserve">— удалённого доступа (VPN, RDP, веб-приложения, опубликованные в сети Интернет);</w:t>
      </w:r>
      <w:r>
        <w:t xml:space="preserve"> </w:t>
      </w:r>
      <w:r>
        <w:t xml:space="preserve">— доступа к средствам защиты информации и системам управления СЗИ;</w:t>
      </w:r>
      <w:r>
        <w:t xml:space="preserve"> </w:t>
      </w:r>
      <w:r>
        <w:t xml:space="preserve">— государственных информационных систем первого и второго классов защищённости (в соответствии с приказом ФСТЭК России № 117);</w:t>
      </w:r>
      <w:r>
        <w:t xml:space="preserve"> </w:t>
      </w:r>
      <w:r>
        <w:t xml:space="preserve">— информационных систем персональных данных первого уровня защищённости (приказ ФСТЭК России № 21);</w:t>
      </w:r>
      <w:r>
        <w:t xml:space="preserve"> </w:t>
      </w:r>
      <w:r>
        <w:t xml:space="preserve">— значимых объектов критической информационной инфраструктуры первой и второй категории значимости (приказ ФСТЭК России № 239);</w:t>
      </w:r>
      <w:r>
        <w:t xml:space="preserve"> </w:t>
      </w:r>
      <w:r>
        <w:t xml:space="preserve">— автоматизированных систем, используемых в финансовой сфере, в соответствии с ГОСТ Р 57580.1-2017.</w:t>
      </w:r>
    </w:p>
    <w:p>
      <w:pPr>
        <w:pStyle w:val="BodyText"/>
      </w:pPr>
      <w:r>
        <w:t xml:space="preserve">7.2. Для реализации многофакторной аутентификации допускается использование:</w:t>
      </w:r>
    </w:p>
    <w:p>
      <w:pPr>
        <w:pStyle w:val="BodyText"/>
      </w:pPr>
      <w:r>
        <w:t xml:space="preserve">— аппаратных токенов, реализующих электронную подпись (сертифицированных ФСБ России для криптографических функций, ФСТЭК России — для иных);</w:t>
      </w:r>
      <w:r>
        <w:t xml:space="preserve"> </w:t>
      </w:r>
      <w:r>
        <w:t xml:space="preserve">— смарт-карт с сертифицированным криптопровайдером;</w:t>
      </w:r>
      <w:r>
        <w:t xml:space="preserve"> </w:t>
      </w:r>
      <w:r>
        <w:t xml:space="preserve">— одноразовых паролей (TOTP), генерируемых на устройстве пользователя;</w:t>
      </w:r>
      <w:r>
        <w:t xml:space="preserve"> </w:t>
      </w:r>
      <w:r>
        <w:t xml:space="preserve">— SMS-кодов (не рекомендуется для систем высокого класса защищённости в связи с известными уязвимостями SMS-канала);</w:t>
      </w:r>
      <w:r>
        <w:t xml:space="preserve"> </w:t>
      </w:r>
      <w:r>
        <w:t xml:space="preserve">— push-уведомлений в мобильных приложениях;</w:t>
      </w:r>
      <w:r>
        <w:t xml:space="preserve"> </w:t>
      </w:r>
      <w:r>
        <w:t xml:space="preserve">— биометрических данных (при соблюдении требований Федерального закона № 152-ФЗ в части согласия субъекта и хранения шаблонов).</w:t>
      </w:r>
    </w:p>
    <w:p>
      <w:pPr>
        <w:pStyle w:val="BodyText"/>
      </w:pPr>
      <w:r>
        <w:t xml:space="preserve">7.3. Конкретные средства МФА, применяемые в Организации, определяются приказом о составе средств защиты информации с учётом сертификационных требований.</w:t>
      </w:r>
    </w:p>
    <w:bookmarkEnd w:id="27"/>
    <w:bookmarkStart w:id="28" w:name="X68fc0f888a10089441b9bf9d6ae49ed9f0c3898"/>
    <w:p>
      <w:pPr>
        <w:pStyle w:val="Heading2"/>
      </w:pPr>
      <w:r>
        <w:t xml:space="preserve">8. ПОРЯДОК СОЗДАНИЯ, СМЕНЫ И ХРАНЕНИЯ ПАРОЛЕЙ</w:t>
      </w:r>
    </w:p>
    <w:p>
      <w:pPr>
        <w:pStyle w:val="FirstParagraph"/>
      </w:pPr>
      <w:r>
        <w:t xml:space="preserve">8.1.</w:t>
      </w:r>
      <w:r>
        <w:t xml:space="preserve"> </w:t>
      </w:r>
      <w:r>
        <w:rPr>
          <w:b/>
          <w:bCs/>
        </w:rPr>
        <w:t xml:space="preserve">Первичное создание пароля.</w:t>
      </w:r>
      <w:r>
        <w:t xml:space="preserve"> </w:t>
      </w:r>
      <w:r>
        <w:t xml:space="preserve">При регистрации новой учётной записи системный администратор устанавливает временный пароль, который подлежит обязательной смене при первом входе пользователя в систему. Временный пароль передаётся пользователю способом, исключающим его перехват третьими лицами.</w:t>
      </w:r>
    </w:p>
    <w:p>
      <w:pPr>
        <w:pStyle w:val="BodyText"/>
      </w:pPr>
      <w:r>
        <w:t xml:space="preserve">8.2.</w:t>
      </w:r>
      <w:r>
        <w:t xml:space="preserve"> </w:t>
      </w:r>
      <w:r>
        <w:rPr>
          <w:b/>
          <w:bCs/>
        </w:rPr>
        <w:t xml:space="preserve">Плановая смена паролей.</w:t>
      </w:r>
      <w:r>
        <w:t xml:space="preserve"> </w:t>
      </w:r>
      <w:r>
        <w:t xml:space="preserve">Сроки плановой смены паролей:</w:t>
      </w:r>
    </w:p>
    <w:p>
      <w:pPr>
        <w:pStyle w:val="BodyText"/>
      </w:pPr>
      <w:r>
        <w:t xml:space="preserve">— пароли пользовательских учётных записей — не реже одного раза в 90 дней;</w:t>
      </w:r>
      <w:r>
        <w:t xml:space="preserve"> </w:t>
      </w:r>
      <w:r>
        <w:t xml:space="preserve">— пароли привилегированных учётных записей — не реже одного раза в 60 дней;</w:t>
      </w:r>
      <w:r>
        <w:t xml:space="preserve"> </w:t>
      </w:r>
      <w:r>
        <w:t xml:space="preserve">— пароли сервисных учётных записей — не реже одного раза в 180 дней.</w:t>
      </w:r>
    </w:p>
    <w:p>
      <w:pPr>
        <w:pStyle w:val="BodyText"/>
      </w:pPr>
      <w:r>
        <w:t xml:space="preserve">8.3.</w:t>
      </w:r>
      <w:r>
        <w:t xml:space="preserve"> </w:t>
      </w:r>
      <w:r>
        <w:rPr>
          <w:b/>
          <w:bCs/>
        </w:rPr>
        <w:t xml:space="preserve">Внеплановая (срочная) смена паролей</w:t>
      </w:r>
      <w:r>
        <w:t xml:space="preserve"> </w:t>
      </w:r>
      <w:r>
        <w:t xml:space="preserve">производится в следующих случаях:</w:t>
      </w:r>
    </w:p>
    <w:p>
      <w:pPr>
        <w:pStyle w:val="BodyText"/>
      </w:pPr>
      <w:r>
        <w:t xml:space="preserve">— обнаружение факта или появление признаков компрометации пароля;</w:t>
      </w:r>
      <w:r>
        <w:t xml:space="preserve"> </w:t>
      </w:r>
      <w:r>
        <w:t xml:space="preserve">— увольнение работника, имевшего доступ к централизованному управлению паролями;</w:t>
      </w:r>
      <w:r>
        <w:t xml:space="preserve"> </w:t>
      </w:r>
      <w:r>
        <w:t xml:space="preserve">— прекращение полномочий ответственного за информационную безопасность или администратора системы;</w:t>
      </w:r>
      <w:r>
        <w:t xml:space="preserve"> </w:t>
      </w:r>
      <w:r>
        <w:t xml:space="preserve">— результаты аудита ИБ, выявившие необходимость смены;</w:t>
      </w:r>
      <w:r>
        <w:t xml:space="preserve"> </w:t>
      </w:r>
      <w:r>
        <w:t xml:space="preserve">— истечение срока временного пароля без выполнения пользователем смены на постоянный.</w:t>
      </w:r>
    </w:p>
    <w:p>
      <w:pPr>
        <w:pStyle w:val="BodyText"/>
      </w:pPr>
      <w:r>
        <w:t xml:space="preserve">8.4.</w:t>
      </w:r>
      <w:r>
        <w:t xml:space="preserve"> </w:t>
      </w:r>
      <w:r>
        <w:rPr>
          <w:b/>
          <w:bCs/>
        </w:rPr>
        <w:t xml:space="preserve">Правила хранения паролей:</w:t>
      </w:r>
    </w:p>
    <w:p>
      <w:pPr>
        <w:pStyle w:val="BodyText"/>
      </w:pPr>
      <w:r>
        <w:t xml:space="preserve">— запрещается сохранять пароли в браузерах и стандартных средствах автозаполнения форм;</w:t>
      </w:r>
      <w:r>
        <w:t xml:space="preserve"> </w:t>
      </w:r>
      <w:r>
        <w:t xml:space="preserve">— запрещается сохранять пароли в программном обеспечении удалённого доступа с функцией автоподключения;</w:t>
      </w:r>
      <w:r>
        <w:t xml:space="preserve"> </w:t>
      </w:r>
      <w:r>
        <w:t xml:space="preserve">— запрещается хранить пароли на бумажных носителях, внешних электронных носителях, в памяти мобильных устройств, в ноутбуках, не защищённых в соответствии с требованиями настоящей Политики;</w:t>
      </w:r>
      <w:r>
        <w:t xml:space="preserve"> </w:t>
      </w:r>
      <w:r>
        <w:t xml:space="preserve">— допускается хранение паролей в корпоративных менеджерах паролей, использующих стойкое шифрование и обеспечивающих разграничение доступа;</w:t>
      </w:r>
      <w:r>
        <w:t xml:space="preserve"> </w:t>
      </w:r>
      <w:r>
        <w:t xml:space="preserve">— исключение: пароль может быть записан и помещён в личный сейф владельца или сейф руководителя подразделения в опечатанном владельцем конверте — для использования исключительно при утрате доступа.</w:t>
      </w:r>
    </w:p>
    <w:bookmarkEnd w:id="28"/>
    <w:bookmarkStart w:id="29" w:name="правила-ввода-и-использования-паролей"/>
    <w:p>
      <w:pPr>
        <w:pStyle w:val="Heading2"/>
      </w:pPr>
      <w:r>
        <w:t xml:space="preserve">9. ПРАВИЛА ВВОДА И ИСПОЛЬЗОВАНИЯ ПАРОЛЕЙ</w:t>
      </w:r>
    </w:p>
    <w:p>
      <w:pPr>
        <w:pStyle w:val="FirstParagraph"/>
      </w:pPr>
      <w:r>
        <w:t xml:space="preserve">9.1.</w:t>
      </w:r>
      <w:r>
        <w:t xml:space="preserve"> </w:t>
      </w:r>
      <w:r>
        <w:rPr>
          <w:b/>
          <w:bCs/>
        </w:rPr>
        <w:t xml:space="preserve">Требования к защите ввода пароля:</w:t>
      </w:r>
    </w:p>
    <w:p>
      <w:pPr>
        <w:pStyle w:val="BodyText"/>
      </w:pPr>
      <w:r>
        <w:t xml:space="preserve">— пароль не должен отображаться на экране в явном виде при вводе (символы скрываются или заменяются на точки/звёздочки);</w:t>
      </w:r>
      <w:r>
        <w:t xml:space="preserve"> </w:t>
      </w:r>
      <w:r>
        <w:t xml:space="preserve">— запрещается произносить пароль вслух, набираемый текст или его части;</w:t>
      </w:r>
      <w:r>
        <w:t xml:space="preserve"> </w:t>
      </w:r>
      <w:r>
        <w:t xml:space="preserve">— запрещается вводить пароль при наблюдении за процессом посторонних лиц;</w:t>
      </w:r>
      <w:r>
        <w:t xml:space="preserve"> </w:t>
      </w:r>
      <w:r>
        <w:t xml:space="preserve">— запрещается вводить пароль в зоне действия записывающих устройств (диктофоны, камеры видеонаблюдения, устройства мобильной связи в активном состоянии);</w:t>
      </w:r>
      <w:r>
        <w:t xml:space="preserve"> </w:t>
      </w:r>
      <w:r>
        <w:t xml:space="preserve">— запрещается использовать для ввода пароля клавиатуры и средства ввода, подключённые по беспроводным технологиям (Bluetooth, ИК-передатчики), не имеющие криптографической защиты канала.</w:t>
      </w:r>
    </w:p>
    <w:p>
      <w:pPr>
        <w:pStyle w:val="BodyText"/>
      </w:pPr>
      <w:r>
        <w:t xml:space="preserve">9.2.</w:t>
      </w:r>
      <w:r>
        <w:t xml:space="preserve"> </w:t>
      </w:r>
      <w:r>
        <w:rPr>
          <w:b/>
          <w:bCs/>
        </w:rPr>
        <w:t xml:space="preserve">Запреты при использовании пароля:</w:t>
      </w:r>
    </w:p>
    <w:p>
      <w:pPr>
        <w:pStyle w:val="BodyText"/>
      </w:pPr>
      <w:r>
        <w:t xml:space="preserve">— запрещается передавать пароль любым лицам, в том числе коллегам, руководителям, работникам службы технической поддержки, без письменного разрешения ответственного за ИБ (при разрешённой передаче пароль подлежит немедленной смене сразу после устранения причины передачи);</w:t>
      </w:r>
      <w:r>
        <w:t xml:space="preserve"> </w:t>
      </w:r>
      <w:r>
        <w:t xml:space="preserve">— запрещается использовать пароли от корпоративных учётных записей во внешних сервисах и на ресурсах в сети Интернет, не относящихся к служебной деятельности (развлекательные сайты, личная почта, социальные сети);</w:t>
      </w:r>
      <w:r>
        <w:t xml:space="preserve"> </w:t>
      </w:r>
      <w:r>
        <w:t xml:space="preserve">— запрещается использовать одинаковые пароли для разных учётных записей (антиповторность на уровне систем контроля).</w:t>
      </w:r>
    </w:p>
    <w:p>
      <w:pPr>
        <w:pStyle w:val="BodyText"/>
      </w:pPr>
      <w:r>
        <w:t xml:space="preserve">9.3.</w:t>
      </w:r>
      <w:r>
        <w:t xml:space="preserve"> </w:t>
      </w:r>
      <w:r>
        <w:rPr>
          <w:b/>
          <w:bCs/>
        </w:rPr>
        <w:t xml:space="preserve">Блокировка учётной записи.</w:t>
      </w:r>
      <w:r>
        <w:t xml:space="preserve"> </w:t>
      </w:r>
      <w:r>
        <w:t xml:space="preserve">Учётная запись блокируется автоматически после 5 (пяти) последовательных неудачных попыток ввода пароля. Разблокировка осуществляется:</w:t>
      </w:r>
      <w:r>
        <w:t xml:space="preserve"> </w:t>
      </w:r>
      <w:r>
        <w:t xml:space="preserve">— автоматически через установленный интервал времени (например, 15 минут) — для пользовательских учётных записей;</w:t>
      </w:r>
      <w:r>
        <w:t xml:space="preserve"> </w:t>
      </w:r>
      <w:r>
        <w:t xml:space="preserve">— только по запросу пользователя с идентификацией по независимому каналу — для привилегированных учётных записей.</w:t>
      </w:r>
    </w:p>
    <w:p>
      <w:pPr>
        <w:pStyle w:val="BodyText"/>
      </w:pPr>
      <w:r>
        <w:t xml:space="preserve">9.4.</w:t>
      </w:r>
      <w:r>
        <w:t xml:space="preserve"> </w:t>
      </w:r>
      <w:r>
        <w:rPr>
          <w:b/>
          <w:bCs/>
        </w:rPr>
        <w:t xml:space="preserve">Блокировка при бездействии.</w:t>
      </w:r>
      <w:r>
        <w:t xml:space="preserve"> </w:t>
      </w:r>
      <w:r>
        <w:t xml:space="preserve">Рабочие места пользователей автоматически блокируются при отсутствии активности более установленного времени (рекомендуется 10 минут). Разблокировка требует повторного ввода пароля.</w:t>
      </w:r>
    </w:p>
    <w:bookmarkEnd w:id="29"/>
    <w:bookmarkStart w:id="30" w:name="действия-при-компрометации-пароля"/>
    <w:p>
      <w:pPr>
        <w:pStyle w:val="Heading2"/>
      </w:pPr>
      <w:r>
        <w:t xml:space="preserve">10. ДЕЙСТВИЯ ПРИ КОМПРОМЕТАЦИИ ПАРОЛЯ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  <w:bCs/>
        </w:rPr>
        <w:t xml:space="preserve">Признаки компрометации пароля:</w:t>
      </w:r>
    </w:p>
    <w:p>
      <w:pPr>
        <w:pStyle w:val="BodyText"/>
      </w:pPr>
      <w:r>
        <w:t xml:space="preserve">— факт сообщения пароля третьим лицам (в том числе случайно);</w:t>
      </w:r>
      <w:r>
        <w:t xml:space="preserve"> </w:t>
      </w:r>
      <w:r>
        <w:t xml:space="preserve">— обнаружение записи пароля в местах, доступных посторонним;</w:t>
      </w:r>
      <w:r>
        <w:t xml:space="preserve"> </w:t>
      </w:r>
      <w:r>
        <w:t xml:space="preserve">— подозрительные действия в журналах аудита от имени учётной записи пользователя;</w:t>
      </w:r>
      <w:r>
        <w:t xml:space="preserve"> </w:t>
      </w:r>
      <w:r>
        <w:t xml:space="preserve">— уведомления системы о попытках входа в неурочное время или из неожиданных местоположений;</w:t>
      </w:r>
      <w:r>
        <w:t xml:space="preserve"> </w:t>
      </w:r>
      <w:r>
        <w:t xml:space="preserve">— утрата или кража носителя (бумажного, электронного), на котором был записан пароль;</w:t>
      </w:r>
      <w:r>
        <w:t xml:space="preserve"> </w:t>
      </w:r>
      <w:r>
        <w:t xml:space="preserve">— факт наблюдения посторонних лиц за процессом ввода пароля;</w:t>
      </w:r>
      <w:r>
        <w:t xml:space="preserve"> </w:t>
      </w:r>
      <w:r>
        <w:t xml:space="preserve">— работа пароля после его ввода не тем пользователем, которому он принадлежит.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  <w:bCs/>
        </w:rPr>
        <w:t xml:space="preserve">Действия пользователя при обнаружении признаков компрометации:</w:t>
      </w:r>
    </w:p>
    <w:p>
      <w:pPr>
        <w:pStyle w:val="BodyText"/>
      </w:pPr>
      <w:r>
        <w:t xml:space="preserve">10.2.1. Незамедлительно (в течение рабочего дня, а при критичных системах — незамедлительно) сообщить о факте или подозрении на компрометацию ответственному за информационную безопасность и своему непосредственному руководителю по установленному каналу уведомлений (телефон, e-mail, тикет-система).</w:t>
      </w:r>
    </w:p>
    <w:p>
      <w:pPr>
        <w:pStyle w:val="BodyText"/>
      </w:pPr>
      <w:r>
        <w:t xml:space="preserve">10.2.2. До получения указаний от ответственного за ИБ пользователь обязан прекратить работу с учётной записью, пароль которой мог быть скомпрометирован.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  <w:bCs/>
        </w:rPr>
        <w:t xml:space="preserve">Действия ответственного за информационную безопасность:</w:t>
      </w:r>
    </w:p>
    <w:p>
      <w:pPr>
        <w:pStyle w:val="BodyText"/>
      </w:pPr>
      <w:r>
        <w:t xml:space="preserve">— регистрирует факт или подозрение на компрометацию в журнале инцидентов ИБ;</w:t>
      </w:r>
      <w:r>
        <w:t xml:space="preserve"> </w:t>
      </w:r>
      <w:r>
        <w:t xml:space="preserve">— принимает решение о блокировке учётной записи, смене пароля, проведении расследования;</w:t>
      </w:r>
      <w:r>
        <w:t xml:space="preserve"> </w:t>
      </w:r>
      <w:r>
        <w:t xml:space="preserve">— анализирует журналы аудита за период, предшествующий инциденту, для выявления возможных несанкционированных действий;</w:t>
      </w:r>
      <w:r>
        <w:t xml:space="preserve"> </w:t>
      </w:r>
      <w:r>
        <w:t xml:space="preserve">— инициирует корректирующие действия по результатам расследования.</w:t>
      </w:r>
    </w:p>
    <w:p>
      <w:pPr>
        <w:pStyle w:val="BodyText"/>
      </w:pPr>
      <w:r>
        <w:t xml:space="preserve">10.4. Расследование инцидента, связанного с компрометацией пароля, проводится в соответствии с Политикой информационной безопасности Организации.</w:t>
      </w:r>
    </w:p>
    <w:bookmarkEnd w:id="30"/>
    <w:bookmarkStart w:id="31" w:name="контроль-соблюдения-парольной-политики"/>
    <w:p>
      <w:pPr>
        <w:pStyle w:val="Heading2"/>
      </w:pPr>
      <w:r>
        <w:t xml:space="preserve">11. КОНТРОЛЬ СОБЛЮДЕНИЯ ПАРОЛЬНОЙ ПОЛИТИКИ</w:t>
      </w:r>
    </w:p>
    <w:p>
      <w:pPr>
        <w:pStyle w:val="FirstParagraph"/>
      </w:pPr>
      <w:r>
        <w:t xml:space="preserve">11.1. Технический контроль соблюдения требований настоящей Политики осуществляется средствами информационных систем и средств защиты информации (групповые политики ОС, настройки прикладных систем, IdM/IAM-решения).</w:t>
      </w:r>
    </w:p>
    <w:p>
      <w:pPr>
        <w:pStyle w:val="BodyText"/>
      </w:pPr>
      <w:r>
        <w:t xml:space="preserve">11.2. Организационный контроль осуществляется ответственным за информационную безопасность и включает:</w:t>
      </w:r>
    </w:p>
    <w:p>
      <w:pPr>
        <w:pStyle w:val="BodyText"/>
      </w:pPr>
      <w:r>
        <w:t xml:space="preserve">— плановые проверки настроек парольной защиты в информационных системах не реже одного раза в квартал;</w:t>
      </w:r>
      <w:r>
        <w:t xml:space="preserve"> </w:t>
      </w:r>
      <w:r>
        <w:t xml:space="preserve">— внеплановые проверки при подозрении на нарушение требований;</w:t>
      </w:r>
      <w:r>
        <w:t xml:space="preserve"> </w:t>
      </w:r>
      <w:r>
        <w:t xml:space="preserve">— контроль выполнения требований по плановой смене паролей;</w:t>
      </w:r>
      <w:r>
        <w:t xml:space="preserve"> </w:t>
      </w:r>
      <w:r>
        <w:t xml:space="preserve">— контроль ведения реестра привилегированных и сервисных учётных записей;</w:t>
      </w:r>
      <w:r>
        <w:t xml:space="preserve"> </w:t>
      </w:r>
      <w:r>
        <w:t xml:space="preserve">— анализ журналов аудита на предмет признаков компрометации.</w:t>
      </w:r>
    </w:p>
    <w:p>
      <w:pPr>
        <w:pStyle w:val="BodyText"/>
      </w:pPr>
      <w:r>
        <w:t xml:space="preserve">11.3. По результатам контроля оформляется отчёт, на основании которого принимаются корректирующие меры.</w:t>
      </w:r>
    </w:p>
    <w:p>
      <w:pPr>
        <w:pStyle w:val="BodyText"/>
      </w:pPr>
      <w:r>
        <w:t xml:space="preserve">11.4. Результаты контроля учитываются при ежегодном внутреннем аудите информационной безопасности Организации.</w:t>
      </w:r>
    </w:p>
    <w:bookmarkEnd w:id="31"/>
    <w:bookmarkStart w:id="32" w:name="ответственность-за-нарушение"/>
    <w:p>
      <w:pPr>
        <w:pStyle w:val="Heading2"/>
      </w:pPr>
      <w:r>
        <w:t xml:space="preserve">12. ОТВЕТСТВЕННОСТЬ ЗА НАРУШЕНИЕ</w:t>
      </w:r>
    </w:p>
    <w:p>
      <w:pPr>
        <w:pStyle w:val="FirstParagraph"/>
      </w:pPr>
      <w:r>
        <w:t xml:space="preserve">12.1. Нарушение требований настоящей Политики влечёт ответственность в соответствии с законодательством Российской Федерации и локальными нормативными актами Организации.</w:t>
      </w:r>
    </w:p>
    <w:p>
      <w:pPr>
        <w:pStyle w:val="BodyText"/>
      </w:pPr>
      <w:r>
        <w:t xml:space="preserve">12.2. В отношении работников Организации за нарушение Политики могут применяться:</w:t>
      </w:r>
    </w:p>
    <w:p>
      <w:pPr>
        <w:pStyle w:val="BodyText"/>
      </w:pPr>
      <w:r>
        <w:t xml:space="preserve">— дисциплинарная ответственность (замечание, выговор, увольнение) в соответствии с Трудовым кодексом Российской Федерации;</w:t>
      </w:r>
      <w:r>
        <w:t xml:space="preserve"> </w:t>
      </w:r>
      <w:r>
        <w:t xml:space="preserve">— материальная ответственность — при причинении Организации ущерба, связанного с нарушением;</w:t>
      </w:r>
      <w:r>
        <w:t xml:space="preserve"> </w:t>
      </w:r>
      <w:r>
        <w:t xml:space="preserve">— административная ответственность — в случаях, предусмотренных КоАП РФ (статья 13.11, 13.12);</w:t>
      </w:r>
      <w:r>
        <w:t xml:space="preserve"> </w:t>
      </w:r>
      <w:r>
        <w:t xml:space="preserve">— уголовная ответственность — в случаях, предусмотренных УК РФ (статьи 272, 273, 274, 274.1).</w:t>
      </w:r>
    </w:p>
    <w:p>
      <w:pPr>
        <w:pStyle w:val="BodyText"/>
      </w:pPr>
      <w:r>
        <w:t xml:space="preserve">12.3. Передача парольной информации третьим лицам, а также использование паролей других пользователей рассматриваются как грубое нарушение Политики и влекут применение мер дисциплинарной ответственности вплоть до увольнения.</w:t>
      </w:r>
    </w:p>
    <w:bookmarkEnd w:id="32"/>
    <w:bookmarkStart w:id="33" w:name="заключительные-положения"/>
    <w:p>
      <w:pPr>
        <w:pStyle w:val="Heading2"/>
      </w:pPr>
      <w:r>
        <w:t xml:space="preserve">13. ЗАКЛЮЧИТЕЛЬНЫЕ ПОЛОЖЕНИЯ</w:t>
      </w:r>
    </w:p>
    <w:p>
      <w:pPr>
        <w:pStyle w:val="FirstParagraph"/>
      </w:pPr>
      <w:r>
        <w:t xml:space="preserve">13.1. Настоящая Политика вступает в силу с момента её утверждения руководителем Организации и действует до её отмены либо замены новой редакцией.</w:t>
      </w:r>
    </w:p>
    <w:p>
      <w:pPr>
        <w:pStyle w:val="BodyText"/>
      </w:pPr>
      <w:r>
        <w:t xml:space="preserve">13.2. Все работники Организации знакомятся с настоящей Политикой под подпись при приёме на работу, а также при каждой новой редакции Политики.</w:t>
      </w:r>
    </w:p>
    <w:p>
      <w:pPr>
        <w:pStyle w:val="BodyText"/>
      </w:pPr>
      <w:r>
        <w:t xml:space="preserve">13.3. Плановый пересмотр Политики осуществляется не реже одного раза в год, внеплановый — при изменении законодательства, обнаружении несоответствий по результатам аудитов, существенных изменениях в ИТ-инфраструктуре Организации.</w:t>
      </w:r>
    </w:p>
    <w:p>
      <w:pPr>
        <w:pStyle w:val="BodyText"/>
      </w:pPr>
      <w:r>
        <w:t xml:space="preserve">13.4. Настоящая Политика является частью комплекта документации по информационной безопасности Организации и применяется совместно с Политикой информационной безопасности и иными документами в области ИБ.</w:t>
      </w:r>
    </w:p>
    <w:bookmarkEnd w:id="33"/>
    <w:bookmarkStart w:id="34" w:name="X8fc10ce08d459d90bfde033b577c0a4722aa7d0"/>
    <w:p>
      <w:pPr>
        <w:pStyle w:val="Heading2"/>
      </w:pPr>
      <w:r>
        <w:t xml:space="preserve">ПРИЛОЖЕНИЕ 1. ТРЕБОВАНИЯ К ПАРОЛЯМ ПО КЛАССАМ (УРОВНЯМ) ЗАЩИЩЁННОСТИ</w:t>
      </w:r>
    </w:p>
    <w:p>
      <w:pPr>
        <w:pStyle w:val="FirstParagraph"/>
      </w:pPr>
      <w:r>
        <w:t xml:space="preserve">Таблица содержит рекомендуемые базовые минимальные значения для шаблона. Конкретные параметры для информационных систем Организации устанавливаются отдельным приказом с учётом требований применимого нормативного правового акта — приказа ФСТЭК России № 21, № 117, № 239 или ГОСТ Р 57580.1-2017 (для финансовых организаций).</w:t>
      </w:r>
    </w:p>
    <w:p>
      <w:pPr>
        <w:pStyle w:val="BodyText"/>
      </w:pPr>
      <w:r>
        <w:t xml:space="preserve">Сопоставление классов/уровней защищённости по нормативным актам:</w:t>
      </w:r>
    </w:p>
    <w:p>
      <w:pPr>
        <w:pStyle w:val="BodyText"/>
      </w:pPr>
      <w:r>
        <w:t xml:space="preserve">—</w:t>
      </w:r>
      <w:r>
        <w:t xml:space="preserve"> </w:t>
      </w:r>
      <w:r>
        <w:rPr>
          <w:b/>
          <w:bCs/>
        </w:rPr>
        <w:t xml:space="preserve">Базовый класс защиты</w:t>
      </w:r>
      <w:r>
        <w:t xml:space="preserve"> </w:t>
      </w:r>
      <w:r>
        <w:t xml:space="preserve">— ИСПДн УЗ-4, ГИС 4 класса защищённости, КИИ 3 категории значимости;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Средний класс защиты</w:t>
      </w:r>
      <w:r>
        <w:t xml:space="preserve"> </w:t>
      </w:r>
      <w:r>
        <w:t xml:space="preserve">— ИСПДн УЗ-3, ГИС 3 класса защищённости, КИИ 2 категории значимости;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Повышенный класс защиты</w:t>
      </w:r>
      <w:r>
        <w:t xml:space="preserve"> </w:t>
      </w:r>
      <w:r>
        <w:t xml:space="preserve">— ИСПДн УЗ-2, ГИС 2 класса защищённости;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Максимальный класс защиты</w:t>
      </w:r>
      <w:r>
        <w:t xml:space="preserve"> </w:t>
      </w:r>
      <w:r>
        <w:t xml:space="preserve">— ИСПДн УЗ-1, ГИС 1 класса защищённости, КИИ 1 категории значимости.</w:t>
      </w:r>
    </w:p>
    <w:p>
      <w:pPr>
        <w:pStyle w:val="BodyText"/>
      </w:pPr>
      <w:r>
        <w:rPr>
          <w:b/>
          <w:bCs/>
        </w:rPr>
        <w:t xml:space="preserve">Таблица 1. Рекомендуемые параметры парольной защиты</w:t>
      </w:r>
    </w:p>
    <w:tbl>
      <w:tblPr>
        <w:tblStyle w:val="Table"/>
        <w:tblW w:type="pct" w:w="5000"/>
        <w:jc w:val="center"/>
        <w:tblLayout w:type="fixed"/>
        <w:tblLook w:firstRow="1" w:lastRow="0" w:firstColumn="0" w:lastColumn="0" w:noHBand="0" w:noVBand="0" w:val="0020"/>
      </w:tblPr>
      <w:tblGrid>
        <w:gridCol w:w="1440"/>
        <w:gridCol w:w="1296"/>
        <w:gridCol w:w="1296"/>
        <w:gridCol w:w="1728"/>
        <w:gridCol w:w="2160"/>
      </w:tblGrid>
      <w:tr>
        <w:trPr>
          <w:tblHeader w:val="on"/>
        </w:trP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Параметр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Базовый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Средний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Повышенный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Максимальный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Классификации, к которым применим столбец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УЗ-4 / ГИС К4 / КИИ 3 кат.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УЗ-3 / ГИС К3 / КИИ 2 кат.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УЗ-2 / ГИС К2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УЗ-1 / ГИС К1 / КИИ 1 кат.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Минимальная длина пароля пользователя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8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10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12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14 символов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Альтернатива — парольная фраза (минимум)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15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18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20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24 символа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Количество категорий символов (из 4)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менее 3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менее 3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менее 4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менее 4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Периодичность плановой смены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180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120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90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60 дней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Длина истории (запрет повторного использования)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5 паролей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8 паролей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10 паролей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15 паролей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Блокировка после неудачных попыток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10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7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5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Многофакторная аутентификация (МФА)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рекомендуется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рекомендуется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обязательна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обязательна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Минимальная длина пароля привилегированной УЗ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12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14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16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18 символов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Периодичность смены пароля привилегированной УЗ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90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60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45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30 дней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Обязательная МФА для привилегированных УЗ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да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да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да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да</w:t>
            </w:r>
          </w:p>
        </w:tc>
      </w:tr>
    </w:tbl>
    <w:p>
      <w:pPr>
        <w:pStyle w:val="BodyText"/>
      </w:pPr>
      <w:r>
        <w:rPr>
          <w:b/>
          <w:bCs/>
        </w:rPr>
        <w:t xml:space="preserve">Таблица 2. Дополнительные требования ГОСТ Р 57580.1-2017 для финансовых организаций</w:t>
      </w:r>
    </w:p>
    <w:tbl>
      <w:tblPr>
        <w:tblStyle w:val="Table"/>
        <w:tblW w:type="pct" w:w="5000"/>
        <w:jc w:val="center"/>
        <w:tblLayout w:type="fixed"/>
        <w:tblLook w:firstRow="1" w:lastRow="0" w:firstColumn="0" w:lastColumn="0" w:noHBand="0" w:noVBand="0" w:val="0020"/>
      </w:tblPr>
      <w:tblGrid>
        <w:gridCol w:w="776"/>
        <w:gridCol w:w="2174"/>
        <w:gridCol w:w="2562"/>
        <w:gridCol w:w="2407"/>
      </w:tblGrid>
      <w:tr>
        <w:trPr>
          <w:tblHeader w:val="on"/>
        </w:trP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Параметр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Уровень защиты 3 (базовый)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Уровень защиты 2 (стандартный)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Уровень защиты 1 (усиленный)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Минимальная длина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8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10 символов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12 символов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Периодичность смены пользовательских паролей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реже 90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реже 60 дней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не реже 45 дней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МФА для доступа к критичным функциям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рекомендуется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обязательна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обязательна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Блокировка после неудачных попыток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5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5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3</w:t>
            </w:r>
          </w:p>
        </w:tc>
      </w:tr>
    </w:tbl>
    <w:p>
      <w:pPr>
        <w:pStyle w:val="BodyText"/>
      </w:pPr>
      <w:r>
        <w:t xml:space="preserve">Для автоматизированных систем, обрабатывающих сведения, составляющие государственную тайну, применяются требования ФСБ России и Министерства обороны России, установленные отдельными нормативными актами (в настоящем шаблоне не рассматриваются).</w:t>
      </w:r>
    </w:p>
    <w:bookmarkEnd w:id="34"/>
    <w:bookmarkStart w:id="35" w:name="X9fbb016d6239b6ac3e59f9a0586fc1a7a58ae6f"/>
    <w:p>
      <w:pPr>
        <w:pStyle w:val="Heading2"/>
      </w:pPr>
      <w:r>
        <w:t xml:space="preserve">ПРИЛОЖЕНИЕ 2. ФОРМА ЛИСТА ОЗНАКОМЛЕНИЯ С ПАРОЛЬНОЙ ПОЛИТИКОЙ</w:t>
      </w:r>
    </w:p>
    <w:p>
      <w:pPr>
        <w:pStyle w:val="FirstParagraph"/>
      </w:pPr>
      <w:r>
        <w:rPr>
          <w:b/>
          <w:bCs/>
        </w:rPr>
        <w:t xml:space="preserve">Лист ознакомления с Парольной политикой [НАИМЕНОВАНИЕ ОРГАНИЗАЦИИ]</w:t>
      </w:r>
    </w:p>
    <w:tbl>
      <w:tblPr>
        <w:tblStyle w:val="Table"/>
        <w:tblW w:type="pct" w:w="5000"/>
        <w:jc w:val="center"/>
        <w:tblLayout w:type="fixed"/>
        <w:tblLook w:firstRow="1" w:lastRow="0" w:firstColumn="0" w:lastColumn="0" w:noHBand="0" w:noVBand="0" w:val="0020"/>
      </w:tblPr>
      <w:tblGrid>
        <w:gridCol w:w="330"/>
        <w:gridCol w:w="1650"/>
        <w:gridCol w:w="1210"/>
        <w:gridCol w:w="1650"/>
        <w:gridCol w:w="2090"/>
        <w:gridCol w:w="990"/>
      </w:tblGrid>
      <w:tr>
        <w:trPr>
          <w:tblHeader w:val="on"/>
        </w:trP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№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ФИО работника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Должность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Подразделение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Дата ознакомления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Подпись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2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3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Дата начала ведения: «____» ______________ 20____ г.</w:t>
      </w:r>
    </w:p>
    <w:p>
      <w:pPr>
        <w:pStyle w:val="BodyText"/>
      </w:pPr>
      <w:r>
        <w:t xml:space="preserve">Ответственный за ведение: ________________________</w:t>
      </w:r>
      <w:r>
        <w:t xml:space="preserve"> </w:t>
      </w:r>
      <w:r>
        <w:t xml:space="preserve">(должность, ФИО, подпись)</w:t>
      </w:r>
    </w:p>
    <w:bookmarkEnd w:id="35"/>
    <w:bookmarkStart w:id="40" w:name="о-шаблоне"/>
    <w:p>
      <w:pPr>
        <w:pStyle w:val="Heading2"/>
      </w:pPr>
      <w:r>
        <w:t xml:space="preserve">О ШАБЛОНЕ</w:t>
      </w:r>
    </w:p>
    <w:p>
      <w:pPr>
        <w:pStyle w:val="FirstParagraph"/>
      </w:pPr>
      <w:r>
        <w:t xml:space="preserve">Этот шаблон разработан КиберОснова — SGRC-платформой для автоматизации информационной безопасности и комплаенса.</w:t>
      </w:r>
    </w:p>
    <w:p>
      <w:pPr>
        <w:pStyle w:val="BodyText"/>
      </w:pPr>
      <w:r>
        <w:rPr>
          <w:b/>
          <w:bCs/>
        </w:rPr>
        <w:t xml:space="preserve">КиберОснова автоматизирует управление парольной политикой:</w:t>
      </w:r>
      <w:r>
        <w:t xml:space="preserve"> </w:t>
      </w:r>
      <w:r>
        <w:t xml:space="preserve">— Контроль настроек парольной защиты во всех подключённых информационных системах;</w:t>
      </w:r>
      <w:r>
        <w:t xml:space="preserve"> </w:t>
      </w:r>
      <w:r>
        <w:t xml:space="preserve">— Автоматическое уведомление ответственных о просроченных паролях;</w:t>
      </w:r>
      <w:r>
        <w:t xml:space="preserve"> </w:t>
      </w:r>
      <w:r>
        <w:t xml:space="preserve">— Реестр привилегированных и сервисных учётных записей;</w:t>
      </w:r>
      <w:r>
        <w:t xml:space="preserve"> </w:t>
      </w:r>
      <w:r>
        <w:t xml:space="preserve">— Интеграция с IdM/IAM-решениями и Active Directory;</w:t>
      </w:r>
      <w:r>
        <w:t xml:space="preserve"> </w:t>
      </w:r>
      <w:r>
        <w:t xml:space="preserve">— Журнал аудита парольных инцидентов.</w:t>
      </w:r>
    </w:p>
    <w:p>
      <w:pPr>
        <w:pStyle w:val="BodyText"/>
      </w:pPr>
      <w:r>
        <w:rPr>
          <w:b/>
          <w:bCs/>
        </w:rPr>
        <w:t xml:space="preserve">Попробуйте КиберОснова бесплатно:</w:t>
      </w:r>
      <w:r>
        <w:t xml:space="preserve"> </w:t>
      </w:r>
      <w:hyperlink r:id="rId36">
        <w:r>
          <w:rPr>
            <w:rStyle w:val="Hyperlink"/>
          </w:rPr>
          <w:t xml:space="preserve">sgrc.cyberosnova.ru/demo/</w:t>
        </w:r>
      </w:hyperlink>
    </w:p>
    <w:p>
      <w:pPr>
        <w:pStyle w:val="BodyText"/>
      </w:pPr>
      <w:r>
        <w:rPr>
          <w:b/>
          <w:bCs/>
        </w:rPr>
        <w:t xml:space="preserve">Связанные документы:</w:t>
      </w:r>
      <w:r>
        <w:t xml:space="preserve"> </w:t>
      </w:r>
      <w:r>
        <w:t xml:space="preserve">— Политика информационной безопасности —</w:t>
      </w:r>
      <w:r>
        <w:t xml:space="preserve"> </w:t>
      </w:r>
      <w:hyperlink r:id="rId37">
        <w:r>
          <w:rPr>
            <w:rStyle w:val="Hyperlink"/>
          </w:rPr>
          <w:t xml:space="preserve">sgrc.cyberosnova.ru/downloads/politika-ib-shablon.docx</w:t>
        </w:r>
      </w:hyperlink>
      <w:r>
        <w:t xml:space="preserve"> </w:t>
      </w:r>
      <w:r>
        <w:t xml:space="preserve">— Читать подробнее о парольной политике —</w:t>
      </w:r>
      <w:r>
        <w:t xml:space="preserve"> </w:t>
      </w:r>
      <w:hyperlink r:id="rId38">
        <w:r>
          <w:rPr>
            <w:rStyle w:val="Hyperlink"/>
          </w:rPr>
          <w:t xml:space="preserve">sgrc.cyberosnova.ru/blog/parolnaya-politika-ib/</w:t>
        </w:r>
      </w:hyperlink>
      <w:r>
        <w:t xml:space="preserve"> </w:t>
      </w:r>
      <w:r>
        <w:t xml:space="preserve">— Приказ ФСТЭК №117 на sgrc.cyberosnova.ru —</w:t>
      </w:r>
      <w:r>
        <w:t xml:space="preserve"> </w:t>
      </w:r>
      <w:hyperlink r:id="rId39">
        <w:r>
          <w:rPr>
            <w:rStyle w:val="Hyperlink"/>
          </w:rPr>
          <w:t xml:space="preserve">sgrc.cyberosnova.ru/blog/prikaz-fstek-117-sgrc/</w:t>
        </w:r>
      </w:hyperlink>
    </w:p>
    <w:p>
      <w:pPr>
        <w:pStyle w:val="BodyText"/>
      </w:pPr>
      <w:r>
        <w:rPr>
          <w:i/>
          <w:iCs/>
        </w:rPr>
        <w:t xml:space="preserve">Шаблон подготовлен: КиберОснова · sgrc.cyberosnova.ru · Версия 1.0 · 2026 г.</w:t>
      </w:r>
      <w:r>
        <w:t xml:space="preserve"> </w:t>
      </w:r>
      <w:r>
        <w:rPr>
          <w:i/>
          <w:iCs/>
        </w:rPr>
        <w:t xml:space="preserve">Шаблон носит информационный характер и требует адаптации под конкретную организацию. Не является юридической консультацией.</w:t>
      </w:r>
    </w:p>
    <w:bookmarkEnd w:id="40"/>
    <w:sectPr>
      <w:headerReference w:type="default" r:id="rId9"/>
      <w:headerReference w:type="first" r:id="rId10"/>
      <w:footerReference w:type="default" r:id="rId11"/>
      <w:footerReference w:type="first" r:id="rId12"/>
      <w:pgMar w:bottom="1134" w:footer="567" w:header="567" w:left="1417" w:right="85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Calibri" w:hAnsi="Calibri"/>
        <w:i/>
        <w:color w:val="6B7280"/>
        <w:sz w:val="18"/>
      </w:rPr>
      <w:t xml:space="preserve">sgrc.cyberosnova.ru   ·   </w:t>
    </w:r>
    <w:r>
      <w:rPr>
        <w:rFonts w:ascii="Calibri" w:hAnsi="Calibri"/>
        <w:color w:val="6B7280"/>
        <w:sz w:val="18"/>
      </w:rPr>
      <w:t xml:space="preserve">Страница </w:t>
    </w:r>
    <w:r>
      <w:rPr>
        <w:color w:val="6B7280"/>
        <w:sz w:val="18"/>
      </w:rPr>
      <w:fldChar w:fldCharType="begin"/>
      <w:instrText xml:space="preserve">PAGE</w:instrText>
      <w:fldChar w:fldCharType="end"/>
    </w:r>
    <w:r>
      <w:rPr>
        <w:rFonts w:ascii="Calibri" w:hAnsi="Calibri"/>
        <w:color w:val="6B7280"/>
        <w:sz w:val="18"/>
      </w:rPr>
      <w:t xml:space="preserve"> из </w:t>
    </w:r>
    <w:r>
      <w:rPr>
        <w:color w:val="6B7280"/>
        <w:sz w:val="18"/>
      </w:rPr>
      <w:fldChar w:fldCharType="begin"/>
      <w:instrText xml:space="preserve">NUMPAGES</w:instrTex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Calibri" w:hAnsi="Calibri"/>
        <w:i/>
        <w:color w:val="6B7280"/>
        <w:sz w:val="18"/>
      </w:rPr>
      <w:t>sgrc.cyberosnova.ru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5048D3"/>
      </w:pBdr>
    </w:pPr>
    <w:r/>
    <w:r>
      <w:rPr>
        <w:rFonts w:ascii="Calibri" w:hAnsi="Calibri"/>
        <w:i/>
        <w:color w:val="6B7280"/>
        <w:sz w:val="18"/>
      </w:rPr>
      <w:t>КиберОснова · Парольная политика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300" w:lineRule="auto"/>
      <w:jc w:val="both"/>
    </w:pPr>
    <w:rPr>
      <w:rFonts w:ascii="Calibri" w:cs="Calibri" w:eastAsia="Calibri" w:hAnsi="Calibri"/>
      <w:color w:val="111931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240" w:line="240" w:lineRule="auto"/>
      <w:contextualSpacing/>
      <w:jc w:val="right"/>
    </w:pPr>
    <w:rPr>
      <w:rFonts w:ascii="Calibri" w:asciiTheme="majorHAnsi" w:cstheme="majorBidi" w:eastAsiaTheme="majorEastAsia" w:hAnsi="Calibri" w:hAnsiTheme="majorHAnsi"/>
      <w:i/>
      <w:color w:val="6B7280"/>
      <w:spacing w:val="-10"/>
      <w:kern w:val="28"/>
      <w:sz w:val="2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360" w:before="480"/>
      <w:jc w:val="center"/>
      <w:outlineLvl w:val="0"/>
    </w:pPr>
    <w:rPr>
      <w:rFonts w:ascii="Calibri" w:asciiTheme="majorHAnsi" w:cstheme="majorBidi" w:eastAsiaTheme="majorEastAsia" w:hAnsi="Calibri" w:hAnsiTheme="majorHAnsi"/>
      <w:b/>
      <w:color w:val="5048D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160" w:before="360"/>
      <w:jc w:val="left"/>
      <w:outlineLvl w:val="1"/>
      <w:pBdr>
        <w:bottom w:color="5048D3" w:space="4" w:sz="12" w:val="single"/>
      </w:pBdr>
    </w:pPr>
    <w:rPr>
      <w:rFonts w:ascii="Calibri" w:asciiTheme="majorHAnsi" w:cstheme="majorBidi" w:eastAsiaTheme="majorEastAsia" w:hAnsi="Calibri" w:hAnsiTheme="majorHAnsi"/>
      <w:b/>
      <w:caps w:val="0"/>
      <w:color w:val="5048D3"/>
      <w:sz w:val="28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120" w:before="200"/>
      <w:outlineLvl w:val="2"/>
    </w:pPr>
    <w:rPr>
      <w:rFonts w:ascii="Calibri" w:cstheme="majorBidi" w:eastAsiaTheme="majorEastAsia" w:hAnsi="Calibri"/>
      <w:b/>
      <w:color w:val="111931"/>
      <w:sz w:val="24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38" Type="http://schemas.openxmlformats.org/officeDocument/2006/relationships/hyperlink" Target="https://sgrc.cyberosnova.ru/blog/parolnaya-politika-ib/" TargetMode="External"/><Relationship Id="rId39" Type="http://schemas.openxmlformats.org/officeDocument/2006/relationships/hyperlink" Target="https://sgrc.cyberosnova.ru/blog/prikaz-fstek-117-sgrc/" TargetMode="External"/><Relationship Id="rId36" Type="http://schemas.openxmlformats.org/officeDocument/2006/relationships/hyperlink" Target="https://sgrc.cyberosnova.ru/demo/" TargetMode="External"/><Relationship Id="rId37" Type="http://schemas.openxmlformats.org/officeDocument/2006/relationships/hyperlink" Target="https://sgrc.cyberosnova.ru/downloads/politika-ib-shablon.doc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_rels/footnotes.xml.rels><?xml version='1.0' encoding='UTF-8' standalone='yes'?>
<Relationships xmlns="http://schemas.openxmlformats.org/package/2006/relationships"><Relationship Id="rId38" Type="http://schemas.openxmlformats.org/officeDocument/2006/relationships/hyperlink" Target="https://sgrc.cyberosnova.ru/blog/parolnaya-politika-ib/" TargetMode="External"/><Relationship Id="rId39" Type="http://schemas.openxmlformats.org/officeDocument/2006/relationships/hyperlink" Target="https://sgrc.cyberosnova.ru/blog/prikaz-fstek-117-sgrc/" TargetMode="External"/><Relationship Id="rId36" Type="http://schemas.openxmlformats.org/officeDocument/2006/relationships/hyperlink" Target="https://sgrc.cyberosnova.ru/demo/" TargetMode="External"/><Relationship Id="rId37" Type="http://schemas.openxmlformats.org/officeDocument/2006/relationships/hyperlink" Target="https://sgrc.cyberosnova.ru/downloads/politika-ib-shabl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2026-04-14T20:02:21Z</dcterms:created>
  <dcterms:modified xsi:type="dcterms:W3CDTF">2026-04-14T20:02:21Z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